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12C6C" w14:textId="1A7A3392" w:rsidR="009C79DB" w:rsidRPr="00AE0AEC" w:rsidRDefault="009C79DB">
      <w:pPr>
        <w:rPr>
          <w:rFonts w:ascii="Arial" w:hAnsi="Arial" w:cs="Arial"/>
          <w:b/>
          <w:bCs/>
        </w:rPr>
      </w:pPr>
      <w:r w:rsidRPr="00AE0AEC">
        <w:rPr>
          <w:rFonts w:ascii="Arial" w:hAnsi="Arial" w:cs="Arial"/>
          <w:b/>
          <w:bCs/>
        </w:rPr>
        <w:t>MTT-assay</w:t>
      </w:r>
    </w:p>
    <w:p w14:paraId="78904A11" w14:textId="350D14C2" w:rsidR="009C79DB" w:rsidRDefault="009C79DB">
      <w:pPr>
        <w:rPr>
          <w:rFonts w:ascii="Arial" w:hAnsi="Arial" w:cs="Arial"/>
        </w:rPr>
      </w:pPr>
      <w:r w:rsidRPr="00AE0AEC">
        <w:rPr>
          <w:rFonts w:ascii="Arial" w:hAnsi="Arial" w:cs="Arial"/>
        </w:rPr>
        <w:t>Keywords: Mammalian cell biology, cytotoxicity, analytical chemistry</w:t>
      </w:r>
    </w:p>
    <w:p w14:paraId="2AF31E14" w14:textId="77777777" w:rsidR="009C79DB" w:rsidRPr="00AE0AEC" w:rsidRDefault="009C79DB">
      <w:pPr>
        <w:rPr>
          <w:rFonts w:ascii="Arial" w:hAnsi="Arial" w:cs="Arial"/>
          <w:b/>
          <w:bCs/>
        </w:rPr>
      </w:pPr>
    </w:p>
    <w:p w14:paraId="41531E98" w14:textId="4B0F8B56" w:rsidR="008932E7" w:rsidRPr="00AE0AEC" w:rsidRDefault="00C4520A">
      <w:pPr>
        <w:rPr>
          <w:rFonts w:ascii="Arial" w:hAnsi="Arial" w:cs="Arial"/>
        </w:rPr>
      </w:pPr>
      <w:r w:rsidRPr="00AE0AEC">
        <w:rPr>
          <w:rFonts w:ascii="Arial" w:hAnsi="Arial" w:cs="Arial"/>
          <w:b/>
          <w:bCs/>
        </w:rPr>
        <w:t xml:space="preserve">Background: </w:t>
      </w:r>
    </w:p>
    <w:p w14:paraId="20961742" w14:textId="2E6F034F" w:rsidR="009C79DB" w:rsidRPr="00AE0AEC" w:rsidRDefault="009C79DB" w:rsidP="000B3929">
      <w:pPr>
        <w:jc w:val="both"/>
        <w:rPr>
          <w:rFonts w:ascii="Arial" w:hAnsi="Arial" w:cs="Arial"/>
        </w:rPr>
      </w:pPr>
      <w:r w:rsidRPr="00AE0AEC">
        <w:rPr>
          <w:rFonts w:ascii="Arial" w:hAnsi="Arial" w:cs="Arial"/>
        </w:rPr>
        <w:t>An MTT assay utilizes the reduction of a tetrazolium salt to purple formazan crystals to measure cell metabolic activity</w:t>
      </w:r>
      <w:r w:rsidRPr="00AE0AEC">
        <w:rPr>
          <w:rFonts w:ascii="Arial" w:hAnsi="Arial" w:cs="Arial"/>
        </w:rPr>
        <w:fldChar w:fldCharType="begin"/>
      </w:r>
      <w:r w:rsidRPr="00AE0AEC">
        <w:rPr>
          <w:rFonts w:ascii="Arial" w:hAnsi="Arial" w:cs="Arial"/>
        </w:rPr>
        <w:instrText xml:space="preserve"> ADDIN ZOTERO_ITEM CSL_CITATION {"citationID":"ia379AM7","properties":{"formattedCitation":"\\super 1\\nosupersub{}","plainCitation":"1","noteIndex":0},"citationItems":[{"id":8742,"uris":["http://zotero.org/users/10035094/items/MFWH4CKS"],"itemData":{"id":8742,"type":"article-journal","container-title":"Journal of Immunological Methods","DOI":"10.1016/0022-1759(83)90303-4","ISSN":"00221759","issue":"1-2","journalAbbreviation":"Journal of Immunological Methods","language":"en","license":"https://www.elsevier.com/tdm/userlicense/1.0/","page":"55-63","source":"DOI.org (Crossref)","title":"Rapid colorimetric assay for cellular growth and survival: Application to proliferation and cytotoxicity assays","title-short":"Rapid colorimetric assay for cellular growth and survival","volume":"65","author":[{"family":"Mosmann","given":"Tim"}],"issued":{"date-parts":[["1983",12]]}}}],"schema":"https://github.com/citation-style-language/schema/raw/master/csl-citation.json"} </w:instrText>
      </w:r>
      <w:r w:rsidRPr="00AE0AEC">
        <w:rPr>
          <w:rFonts w:ascii="Arial" w:hAnsi="Arial" w:cs="Arial"/>
        </w:rPr>
        <w:fldChar w:fldCharType="separate"/>
      </w:r>
      <w:r w:rsidRPr="00AE0AEC">
        <w:rPr>
          <w:rFonts w:ascii="Arial" w:hAnsi="Arial" w:cs="Arial"/>
          <w:kern w:val="0"/>
          <w:vertAlign w:val="superscript"/>
        </w:rPr>
        <w:t>1</w:t>
      </w:r>
      <w:r w:rsidRPr="00AE0AEC">
        <w:rPr>
          <w:rFonts w:ascii="Arial" w:hAnsi="Arial" w:cs="Arial"/>
        </w:rPr>
        <w:fldChar w:fldCharType="end"/>
      </w:r>
      <w:r w:rsidRPr="00AE0AEC">
        <w:rPr>
          <w:rFonts w:ascii="Arial" w:hAnsi="Arial" w:cs="Arial"/>
        </w:rPr>
        <w:t>. It is an indirect measure of cell viability but is commonly used to determine cell viability. The MTT Assay is commercially available from Sigma Aldrich (Product number 1146500701). Broadly the assay involves incubating the cells with the tetrazolium salt for some length of time, and then adding in a solvent such as DMSO or sodium dodecyl sulfate/HCl</w:t>
      </w:r>
      <w:r w:rsidRPr="00AE0AEC">
        <w:rPr>
          <w:rFonts w:ascii="Arial" w:hAnsi="Arial" w:cs="Arial"/>
        </w:rPr>
        <w:fldChar w:fldCharType="begin"/>
      </w:r>
      <w:r w:rsidRPr="00AE0AEC">
        <w:rPr>
          <w:rFonts w:ascii="Arial" w:hAnsi="Arial" w:cs="Arial"/>
        </w:rPr>
        <w:instrText xml:space="preserve"> ADDIN ZOTERO_ITEM CSL_CITATION {"citationID":"sHC6SRSQ","properties":{"formattedCitation":"\\super 2\\nosupersub{}","plainCitation":"2","noteIndex":0},"citationItems":[{"id":8744,"uris":["http://zotero.org/users/10035094/items/LENV74MB"],"itemData":{"id":8744,"type":"article-journal","container-title":"Journal of Immunological Methods","DOI":"10.1016/0022-1759(86)90183-3","ISSN":"00221759","issue":"2","journalAbbreviation":"Journal of Immunological Methods","language":"en","license":"https://www.elsevier.com/tdm/userlicense/1.0/","page":"157-165","source":"DOI.org (Crossref)","title":"An improved colorimetric assay for interleukin 2","volume":"93","author":[{"family":"Tada","given":"Hiroko"},{"family":"Shiho","given":"Osamu"},{"family":"Kuroshima","given":"Ken-ichi"},{"family":"Koyama","given":"Masaru"},{"family":"Tsukamoto","given":"Kyozo"}],"issued":{"date-parts":[["1986",11]]}}}],"schema":"https://github.com/citation-style-language/schema/raw/master/csl-citation.json"} </w:instrText>
      </w:r>
      <w:r w:rsidRPr="00AE0AEC">
        <w:rPr>
          <w:rFonts w:ascii="Arial" w:hAnsi="Arial" w:cs="Arial"/>
        </w:rPr>
        <w:fldChar w:fldCharType="separate"/>
      </w:r>
      <w:r w:rsidRPr="00AE0AEC">
        <w:rPr>
          <w:rFonts w:ascii="Arial" w:hAnsi="Arial" w:cs="Arial"/>
          <w:kern w:val="0"/>
          <w:vertAlign w:val="superscript"/>
        </w:rPr>
        <w:t>2</w:t>
      </w:r>
      <w:r w:rsidRPr="00AE0AEC">
        <w:rPr>
          <w:rFonts w:ascii="Arial" w:hAnsi="Arial" w:cs="Arial"/>
        </w:rPr>
        <w:fldChar w:fldCharType="end"/>
      </w:r>
      <w:r w:rsidRPr="00AE0AEC">
        <w:rPr>
          <w:rFonts w:ascii="Arial" w:hAnsi="Arial" w:cs="Arial"/>
        </w:rPr>
        <w:t xml:space="preserve"> to solubilize the formazan crystals before taking absorbance readings. The MTT cleavage follows first order kinetics and can be fitted with Michaelis kin</w:t>
      </w:r>
      <w:r w:rsidR="00AE0AEC" w:rsidRPr="00AE0AEC">
        <w:rPr>
          <w:rFonts w:ascii="Arial" w:hAnsi="Arial" w:cs="Arial"/>
        </w:rPr>
        <w:t>etics</w:t>
      </w:r>
      <w:r w:rsidR="00AE0AEC" w:rsidRPr="00AE0AEC">
        <w:rPr>
          <w:rFonts w:ascii="Arial" w:hAnsi="Arial" w:cs="Arial"/>
        </w:rPr>
        <w:fldChar w:fldCharType="begin"/>
      </w:r>
      <w:r w:rsidR="00AE0AEC" w:rsidRPr="00AE0AEC">
        <w:rPr>
          <w:rFonts w:ascii="Arial" w:hAnsi="Arial" w:cs="Arial"/>
        </w:rPr>
        <w:instrText xml:space="preserve"> ADDIN ZOTERO_ITEM CSL_CITATION {"citationID":"srybzyBM","properties":{"formattedCitation":"\\super 3\\nosupersub{}","plainCitation":"3","noteIndex":0},"citationItems":[{"id":8746,"uris":["http://zotero.org/users/10035094/items/5RR7FRZ5"],"itemData":{"id":8746,"type":"article-journal","container-title":"Journal of Immunological Methods","DOI":"10.1016/0022-1759(86)90215-2","ISSN":"00221759","issue":"1-2","journalAbbreviation":"Journal of Immunological Methods","language":"en","license":"https://www.elsevier.com/tdm/userlicense/1.0/","page":"57-63","source":"DOI.org (Crossref)","title":"Use of MTT colorimetric assay to measure cell activation","volume":"94","author":[{"family":"Gerlier","given":"Denis"},{"family":"Thomasset","given":"Nicole"}],"issued":{"date-parts":[["1986",11]]}}}],"schema":"https://github.com/citation-style-language/schema/raw/master/csl-citation.json"} </w:instrText>
      </w:r>
      <w:r w:rsidR="00AE0AEC" w:rsidRPr="00AE0AEC">
        <w:rPr>
          <w:rFonts w:ascii="Arial" w:hAnsi="Arial" w:cs="Arial"/>
        </w:rPr>
        <w:fldChar w:fldCharType="separate"/>
      </w:r>
      <w:r w:rsidR="00AE0AEC" w:rsidRPr="00AE0AEC">
        <w:rPr>
          <w:rFonts w:ascii="Arial" w:hAnsi="Arial" w:cs="Arial"/>
          <w:kern w:val="0"/>
          <w:vertAlign w:val="superscript"/>
        </w:rPr>
        <w:t>3</w:t>
      </w:r>
      <w:r w:rsidR="00AE0AEC" w:rsidRPr="00AE0AEC">
        <w:rPr>
          <w:rFonts w:ascii="Arial" w:hAnsi="Arial" w:cs="Arial"/>
        </w:rPr>
        <w:fldChar w:fldCharType="end"/>
      </w:r>
      <w:r w:rsidR="00AE0AEC" w:rsidRPr="00AE0AEC">
        <w:rPr>
          <w:rFonts w:ascii="Arial" w:hAnsi="Arial" w:cs="Arial"/>
        </w:rPr>
        <w:t xml:space="preserve"> although oftentimes end point readings are taken. </w:t>
      </w:r>
    </w:p>
    <w:p w14:paraId="1C946E7E" w14:textId="77777777" w:rsidR="00AE0AEC" w:rsidRPr="00AE0AEC" w:rsidRDefault="00AE0AEC" w:rsidP="000B3929">
      <w:pPr>
        <w:jc w:val="both"/>
        <w:rPr>
          <w:rFonts w:ascii="Arial" w:hAnsi="Arial" w:cs="Arial"/>
        </w:rPr>
      </w:pPr>
    </w:p>
    <w:p w14:paraId="437A57BD" w14:textId="1B596C26" w:rsidR="00AE0AEC" w:rsidRPr="00AE0AEC" w:rsidRDefault="000B3929" w:rsidP="000B3929">
      <w:pPr>
        <w:jc w:val="both"/>
        <w:rPr>
          <w:rFonts w:ascii="Arial" w:hAnsi="Arial" w:cs="Arial"/>
        </w:rPr>
      </w:pPr>
      <w:r>
        <w:rPr>
          <w:rFonts w:ascii="Arial" w:hAnsi="Arial" w:cs="Arial"/>
        </w:rPr>
        <w:t>The protein concentration in serum can interfere with MTT by creating formazan crystal aggregates. For this reason, serum is often omitted from the reactions</w:t>
      </w:r>
      <w:r>
        <w:rPr>
          <w:rFonts w:ascii="Arial" w:hAnsi="Arial" w:cs="Arial"/>
        </w:rPr>
        <w:fldChar w:fldCharType="begin"/>
      </w:r>
      <w:r>
        <w:rPr>
          <w:rFonts w:ascii="Arial" w:hAnsi="Arial" w:cs="Arial"/>
        </w:rPr>
        <w:instrText xml:space="preserve"> ADDIN ZOTERO_ITEM CSL_CITATION {"citationID":"2T04FhLu","properties":{"formattedCitation":"\\super 2\\nosupersub{}","plainCitation":"2","noteIndex":0},"citationItems":[{"id":8744,"uris":["http://zotero.org/users/10035094/items/LENV74MB"],"itemData":{"id":8744,"type":"article-journal","container-title":"Journal of Immunological Methods","DOI":"10.1016/0022-1759(86)90183-3","ISSN":"00221759","issue":"2","journalAbbreviation":"Journal of Immunological Methods","language":"en","license":"https://www.elsevier.com/tdm/userlicense/1.0/","page":"157-165","source":"DOI.org (Crossref)","title":"An improved colorimetric assay for interleukin 2","volume":"93","author":[{"family":"Tada","given":"Hiroko"},{"family":"Shiho","given":"Osamu"},{"family":"Kuroshima","given":"Ken-ichi"},{"family":"Koyama","given":"Masaru"},{"family":"Tsukamoto","given":"Kyozo"}],"issued":{"date-parts":[["1986",11]]}}}],"schema":"https://github.com/citation-style-language/schema/raw/master/csl-citation.json"} </w:instrText>
      </w:r>
      <w:r>
        <w:rPr>
          <w:rFonts w:ascii="Arial" w:hAnsi="Arial" w:cs="Arial"/>
        </w:rPr>
        <w:fldChar w:fldCharType="separate"/>
      </w:r>
      <w:r w:rsidRPr="000B3929">
        <w:rPr>
          <w:rFonts w:ascii="Arial" w:hAnsi="Arial" w:cs="Arial"/>
          <w:kern w:val="0"/>
          <w:vertAlign w:val="superscript"/>
        </w:rPr>
        <w:t>2</w:t>
      </w:r>
      <w:r>
        <w:rPr>
          <w:rFonts w:ascii="Arial" w:hAnsi="Arial" w:cs="Arial"/>
        </w:rPr>
        <w:fldChar w:fldCharType="end"/>
      </w:r>
      <w:r>
        <w:rPr>
          <w:rFonts w:ascii="Arial" w:hAnsi="Arial" w:cs="Arial"/>
        </w:rPr>
        <w:t>.</w:t>
      </w:r>
    </w:p>
    <w:p w14:paraId="3CBE8FD0" w14:textId="77777777" w:rsidR="00AE0AEC" w:rsidRPr="00AE0AEC" w:rsidRDefault="00AE0AEC">
      <w:pPr>
        <w:rPr>
          <w:rFonts w:ascii="Arial" w:hAnsi="Arial" w:cs="Arial"/>
        </w:rPr>
      </w:pPr>
    </w:p>
    <w:p w14:paraId="4CD0FC12" w14:textId="62992331" w:rsidR="00AE0AEC" w:rsidRPr="00AE0AEC" w:rsidRDefault="00C4520A" w:rsidP="005C7D54">
      <w:pPr>
        <w:rPr>
          <w:rFonts w:ascii="Arial" w:hAnsi="Arial" w:cs="Arial"/>
        </w:rPr>
      </w:pPr>
      <w:r w:rsidRPr="00AE0AEC">
        <w:rPr>
          <w:rFonts w:ascii="Arial" w:hAnsi="Arial" w:cs="Arial"/>
          <w:b/>
          <w:bCs/>
        </w:rPr>
        <w:t>Scenario:</w:t>
      </w:r>
    </w:p>
    <w:p w14:paraId="50E5978E" w14:textId="30E23FD8" w:rsidR="00AE0AEC" w:rsidRDefault="00AE0AEC" w:rsidP="000B3929">
      <w:pPr>
        <w:jc w:val="both"/>
        <w:rPr>
          <w:rFonts w:ascii="Arial" w:hAnsi="Arial" w:cs="Arial"/>
        </w:rPr>
      </w:pPr>
      <w:r w:rsidRPr="00AE0AEC">
        <w:rPr>
          <w:rFonts w:ascii="Arial" w:hAnsi="Arial" w:cs="Arial"/>
        </w:rPr>
        <w:t>You are a researcher interested in examining the cytotoxicity of a purified protein aggregate on a human neuroblastoma cell line SH-SY5Y. To do this you have decided to run an MTT assay as described below</w:t>
      </w:r>
      <w:r w:rsidR="000B3929">
        <w:rPr>
          <w:rFonts w:ascii="Arial" w:hAnsi="Arial" w:cs="Arial"/>
        </w:rPr>
        <w:t>.</w:t>
      </w:r>
      <w:r w:rsidR="00D93F62">
        <w:rPr>
          <w:rFonts w:ascii="Arial" w:hAnsi="Arial" w:cs="Arial"/>
        </w:rPr>
        <w:t xml:space="preserve"> Unfortunately, the error bars of your experiment are incredibly large, and you are seeing viability in your control sample as low as 45% and as high as 186%.</w:t>
      </w:r>
    </w:p>
    <w:p w14:paraId="1B8C5C6B" w14:textId="77777777" w:rsidR="00D93F62" w:rsidRDefault="00D93F62" w:rsidP="000B3929">
      <w:pPr>
        <w:jc w:val="both"/>
        <w:rPr>
          <w:rFonts w:ascii="Arial" w:hAnsi="Arial" w:cs="Arial"/>
        </w:rPr>
      </w:pPr>
    </w:p>
    <w:p w14:paraId="1E9B241C" w14:textId="333DDDAD" w:rsidR="00D93F62" w:rsidRPr="00D93F62" w:rsidRDefault="00D93F62" w:rsidP="000B3929">
      <w:pPr>
        <w:jc w:val="both"/>
        <w:rPr>
          <w:rFonts w:ascii="Arial" w:hAnsi="Arial" w:cs="Arial"/>
          <w:b/>
          <w:bCs/>
        </w:rPr>
      </w:pPr>
      <w:r>
        <w:rPr>
          <w:rFonts w:ascii="Arial" w:hAnsi="Arial" w:cs="Arial"/>
          <w:b/>
          <w:bCs/>
        </w:rPr>
        <w:t>Protocol:</w:t>
      </w:r>
    </w:p>
    <w:p w14:paraId="06D62CAC" w14:textId="77777777" w:rsidR="00AE0AEC" w:rsidRDefault="00AE0AEC" w:rsidP="000B3929">
      <w:pPr>
        <w:numPr>
          <w:ilvl w:val="0"/>
          <w:numId w:val="1"/>
        </w:numPr>
        <w:spacing w:before="100" w:beforeAutospacing="1" w:after="100" w:afterAutospacing="1"/>
        <w:jc w:val="both"/>
        <w:rPr>
          <w:rFonts w:ascii="Arial" w:eastAsia="Times New Roman" w:hAnsi="Arial" w:cs="Arial"/>
          <w:kern w:val="0"/>
          <w14:ligatures w14:val="none"/>
        </w:rPr>
      </w:pPr>
      <w:r w:rsidRPr="00AE0AEC">
        <w:rPr>
          <w:rFonts w:ascii="Arial" w:eastAsia="Times New Roman" w:hAnsi="Arial" w:cs="Arial"/>
          <w:kern w:val="0"/>
          <w14:ligatures w14:val="none"/>
        </w:rPr>
        <w:t xml:space="preserve">Passage SH-SY5Y until passage 6-10 </w:t>
      </w:r>
    </w:p>
    <w:p w14:paraId="6E499C0B" w14:textId="77777777" w:rsidR="00AE0AEC" w:rsidRDefault="00AE0AEC" w:rsidP="00AE0AEC">
      <w:pPr>
        <w:numPr>
          <w:ilvl w:val="0"/>
          <w:numId w:val="1"/>
        </w:numPr>
        <w:spacing w:before="100" w:beforeAutospacing="1" w:after="100" w:afterAutospacing="1"/>
        <w:rPr>
          <w:rFonts w:ascii="Arial" w:eastAsia="Times New Roman" w:hAnsi="Arial" w:cs="Arial"/>
          <w:kern w:val="0"/>
          <w14:ligatures w14:val="none"/>
        </w:rPr>
      </w:pPr>
      <w:r>
        <w:rPr>
          <w:rFonts w:ascii="Arial" w:eastAsia="Times New Roman" w:hAnsi="Arial" w:cs="Arial"/>
          <w:kern w:val="0"/>
          <w14:ligatures w14:val="none"/>
        </w:rPr>
        <w:t>In a 96-well p</w:t>
      </w:r>
      <w:r w:rsidRPr="00AE0AEC">
        <w:rPr>
          <w:rFonts w:ascii="Arial" w:eastAsia="Times New Roman" w:hAnsi="Arial" w:cs="Arial"/>
          <w:kern w:val="0"/>
          <w14:ligatures w14:val="none"/>
        </w:rPr>
        <w:t>late</w:t>
      </w:r>
      <w:r>
        <w:rPr>
          <w:rFonts w:ascii="Arial" w:eastAsia="Times New Roman" w:hAnsi="Arial" w:cs="Arial"/>
          <w:kern w:val="0"/>
          <w14:ligatures w14:val="none"/>
        </w:rPr>
        <w:t>, plate</w:t>
      </w:r>
      <w:r w:rsidRPr="00AE0AEC">
        <w:rPr>
          <w:rFonts w:ascii="Arial" w:eastAsia="Times New Roman" w:hAnsi="Arial" w:cs="Arial"/>
          <w:kern w:val="0"/>
          <w14:ligatures w14:val="none"/>
        </w:rPr>
        <w:t xml:space="preserve"> 200</w:t>
      </w:r>
      <w:r>
        <w:rPr>
          <w:rFonts w:ascii="Arial" w:eastAsia="Times New Roman" w:hAnsi="Arial" w:cs="Arial"/>
          <w:kern w:val="0"/>
          <w14:ligatures w14:val="none"/>
        </w:rPr>
        <w:t>µ</w:t>
      </w:r>
      <w:r w:rsidRPr="00AE0AEC">
        <w:rPr>
          <w:rFonts w:ascii="Arial" w:eastAsia="Times New Roman" w:hAnsi="Arial" w:cs="Arial"/>
          <w:kern w:val="0"/>
          <w14:ligatures w14:val="none"/>
        </w:rPr>
        <w:t>L for a total of 40,000 cells/well in a 1:1 mixture of F</w:t>
      </w:r>
      <w:proofErr w:type="gramStart"/>
      <w:r w:rsidRPr="00AE0AEC">
        <w:rPr>
          <w:rFonts w:ascii="Arial" w:eastAsia="Times New Roman" w:hAnsi="Arial" w:cs="Arial"/>
          <w:kern w:val="0"/>
          <w14:ligatures w14:val="none"/>
        </w:rPr>
        <w:t>12:EMEM</w:t>
      </w:r>
      <w:proofErr w:type="gramEnd"/>
      <w:r w:rsidRPr="00AE0AEC">
        <w:rPr>
          <w:rFonts w:ascii="Arial" w:eastAsia="Times New Roman" w:hAnsi="Arial" w:cs="Arial"/>
          <w:kern w:val="0"/>
          <w14:ligatures w14:val="none"/>
        </w:rPr>
        <w:t xml:space="preserve"> in 10% FBS</w:t>
      </w:r>
      <w:r>
        <w:rPr>
          <w:rFonts w:ascii="Arial" w:eastAsia="Times New Roman" w:hAnsi="Arial" w:cs="Arial"/>
          <w:kern w:val="0"/>
          <w14:ligatures w14:val="none"/>
        </w:rPr>
        <w:t xml:space="preserve"> and l</w:t>
      </w:r>
      <w:r w:rsidRPr="00AE0AEC">
        <w:rPr>
          <w:rFonts w:ascii="Arial" w:eastAsia="Times New Roman" w:hAnsi="Arial" w:cs="Arial"/>
          <w:kern w:val="0"/>
          <w14:ligatures w14:val="none"/>
        </w:rPr>
        <w:t>et adhere overnight. </w:t>
      </w:r>
    </w:p>
    <w:p w14:paraId="608B82C5" w14:textId="77777777" w:rsidR="00AE0AEC" w:rsidRDefault="00AE0AEC" w:rsidP="00AE0AEC">
      <w:pPr>
        <w:numPr>
          <w:ilvl w:val="0"/>
          <w:numId w:val="1"/>
        </w:numPr>
        <w:spacing w:before="100" w:beforeAutospacing="1" w:after="100" w:afterAutospacing="1"/>
        <w:rPr>
          <w:rFonts w:ascii="Arial" w:eastAsia="Times New Roman" w:hAnsi="Arial" w:cs="Arial"/>
          <w:kern w:val="0"/>
          <w14:ligatures w14:val="none"/>
        </w:rPr>
      </w:pPr>
      <w:r w:rsidRPr="00AE0AEC">
        <w:rPr>
          <w:rFonts w:ascii="Arial" w:eastAsia="Times New Roman" w:hAnsi="Arial" w:cs="Arial"/>
          <w:kern w:val="0"/>
          <w14:ligatures w14:val="none"/>
        </w:rPr>
        <w:t xml:space="preserve">Next morning prep your </w:t>
      </w:r>
      <w:r>
        <w:rPr>
          <w:rFonts w:ascii="Arial" w:eastAsia="Times New Roman" w:hAnsi="Arial" w:cs="Arial"/>
          <w:kern w:val="0"/>
          <w14:ligatures w14:val="none"/>
        </w:rPr>
        <w:t>protein aggregate in a concentrated solution.</w:t>
      </w:r>
    </w:p>
    <w:p w14:paraId="3794E2E5" w14:textId="77777777" w:rsidR="00AE0AEC" w:rsidRDefault="00AE0AEC" w:rsidP="00AE0AEC">
      <w:pPr>
        <w:numPr>
          <w:ilvl w:val="0"/>
          <w:numId w:val="1"/>
        </w:numPr>
        <w:spacing w:before="100" w:beforeAutospacing="1" w:after="100" w:afterAutospacing="1"/>
        <w:rPr>
          <w:rFonts w:ascii="Arial" w:eastAsia="Times New Roman" w:hAnsi="Arial" w:cs="Arial"/>
          <w:kern w:val="0"/>
          <w14:ligatures w14:val="none"/>
        </w:rPr>
      </w:pPr>
      <w:r>
        <w:rPr>
          <w:rFonts w:ascii="Arial" w:eastAsia="Times New Roman" w:hAnsi="Arial" w:cs="Arial"/>
          <w:kern w:val="0"/>
          <w14:ligatures w14:val="none"/>
        </w:rPr>
        <w:t>C</w:t>
      </w:r>
      <w:r w:rsidRPr="00AE0AEC">
        <w:rPr>
          <w:rFonts w:ascii="Arial" w:eastAsia="Times New Roman" w:hAnsi="Arial" w:cs="Arial"/>
          <w:kern w:val="0"/>
          <w14:ligatures w14:val="none"/>
        </w:rPr>
        <w:t>heck</w:t>
      </w:r>
      <w:r>
        <w:rPr>
          <w:rFonts w:ascii="Arial" w:eastAsia="Times New Roman" w:hAnsi="Arial" w:cs="Arial"/>
          <w:kern w:val="0"/>
          <w14:ligatures w14:val="none"/>
        </w:rPr>
        <w:t xml:space="preserve"> the SH-SY5Y</w:t>
      </w:r>
      <w:r w:rsidRPr="00AE0AEC">
        <w:rPr>
          <w:rFonts w:ascii="Arial" w:eastAsia="Times New Roman" w:hAnsi="Arial" w:cs="Arial"/>
          <w:kern w:val="0"/>
          <w14:ligatures w14:val="none"/>
        </w:rPr>
        <w:t xml:space="preserve"> cells on microscope </w:t>
      </w:r>
      <w:r>
        <w:rPr>
          <w:rFonts w:ascii="Arial" w:eastAsia="Times New Roman" w:hAnsi="Arial" w:cs="Arial"/>
          <w:kern w:val="0"/>
          <w14:ligatures w14:val="none"/>
        </w:rPr>
        <w:t xml:space="preserve">for adherence </w:t>
      </w:r>
      <w:r w:rsidRPr="00AE0AEC">
        <w:rPr>
          <w:rFonts w:ascii="Arial" w:eastAsia="Times New Roman" w:hAnsi="Arial" w:cs="Arial"/>
          <w:kern w:val="0"/>
          <w14:ligatures w14:val="none"/>
        </w:rPr>
        <w:t>and then spin down 96 well plate at 500</w:t>
      </w:r>
      <w:r>
        <w:rPr>
          <w:rFonts w:ascii="Arial" w:eastAsia="Times New Roman" w:hAnsi="Arial" w:cs="Arial"/>
          <w:kern w:val="0"/>
          <w14:ligatures w14:val="none"/>
        </w:rPr>
        <w:t xml:space="preserve"> </w:t>
      </w:r>
      <w:proofErr w:type="spellStart"/>
      <w:r>
        <w:rPr>
          <w:rFonts w:ascii="Arial" w:eastAsia="Times New Roman" w:hAnsi="Arial" w:cs="Arial"/>
          <w:kern w:val="0"/>
          <w14:ligatures w14:val="none"/>
        </w:rPr>
        <w:t>x</w:t>
      </w:r>
      <w:r w:rsidRPr="00AE0AEC">
        <w:rPr>
          <w:rFonts w:ascii="Arial" w:eastAsia="Times New Roman" w:hAnsi="Arial" w:cs="Arial"/>
          <w:kern w:val="0"/>
          <w14:ligatures w14:val="none"/>
        </w:rPr>
        <w:t>g</w:t>
      </w:r>
      <w:proofErr w:type="spellEnd"/>
      <w:r w:rsidRPr="00AE0AEC">
        <w:rPr>
          <w:rFonts w:ascii="Arial" w:eastAsia="Times New Roman" w:hAnsi="Arial" w:cs="Arial"/>
          <w:kern w:val="0"/>
          <w14:ligatures w14:val="none"/>
        </w:rPr>
        <w:t xml:space="preserve"> for 5 minutes. </w:t>
      </w:r>
    </w:p>
    <w:p w14:paraId="4EE2B4E0" w14:textId="77777777" w:rsidR="00AE0AEC" w:rsidRDefault="00AE0AEC" w:rsidP="00AE0AEC">
      <w:pPr>
        <w:numPr>
          <w:ilvl w:val="0"/>
          <w:numId w:val="1"/>
        </w:numPr>
        <w:spacing w:before="100" w:beforeAutospacing="1" w:after="100" w:afterAutospacing="1"/>
        <w:rPr>
          <w:rFonts w:ascii="Arial" w:eastAsia="Times New Roman" w:hAnsi="Arial" w:cs="Arial"/>
          <w:kern w:val="0"/>
          <w14:ligatures w14:val="none"/>
        </w:rPr>
      </w:pPr>
      <w:r w:rsidRPr="00AE0AEC">
        <w:rPr>
          <w:rFonts w:ascii="Arial" w:eastAsia="Times New Roman" w:hAnsi="Arial" w:cs="Arial"/>
          <w:kern w:val="0"/>
          <w14:ligatures w14:val="none"/>
        </w:rPr>
        <w:t>Aspirate supernatant using autoclaved Pasteur pipette</w:t>
      </w:r>
      <w:r>
        <w:rPr>
          <w:rFonts w:ascii="Arial" w:eastAsia="Times New Roman" w:hAnsi="Arial" w:cs="Arial"/>
          <w:kern w:val="0"/>
          <w14:ligatures w14:val="none"/>
        </w:rPr>
        <w:t xml:space="preserve"> connected to a vacuum inside a BSC.</w:t>
      </w:r>
    </w:p>
    <w:p w14:paraId="7B732C8B" w14:textId="4ADFAA44" w:rsidR="00AE0AEC" w:rsidRDefault="00AE0AEC" w:rsidP="00AE0AEC">
      <w:pPr>
        <w:numPr>
          <w:ilvl w:val="0"/>
          <w:numId w:val="1"/>
        </w:numPr>
        <w:spacing w:before="100" w:beforeAutospacing="1" w:after="100" w:afterAutospacing="1"/>
        <w:rPr>
          <w:rFonts w:ascii="Arial" w:eastAsia="Times New Roman" w:hAnsi="Arial" w:cs="Arial"/>
          <w:kern w:val="0"/>
          <w14:ligatures w14:val="none"/>
        </w:rPr>
      </w:pPr>
      <w:r w:rsidRPr="00AE0AEC">
        <w:rPr>
          <w:rFonts w:ascii="Arial" w:eastAsia="Times New Roman" w:hAnsi="Arial" w:cs="Arial"/>
          <w:kern w:val="0"/>
          <w14:ligatures w14:val="none"/>
        </w:rPr>
        <w:t>Wash with 200</w:t>
      </w:r>
      <w:r w:rsidR="005C7D54">
        <w:rPr>
          <w:rFonts w:ascii="Arial" w:eastAsia="Times New Roman" w:hAnsi="Arial" w:cs="Arial"/>
          <w:kern w:val="0"/>
          <w14:ligatures w14:val="none"/>
        </w:rPr>
        <w:t>µ</w:t>
      </w:r>
      <w:r w:rsidRPr="00AE0AEC">
        <w:rPr>
          <w:rFonts w:ascii="Arial" w:eastAsia="Times New Roman" w:hAnsi="Arial" w:cs="Arial"/>
          <w:kern w:val="0"/>
          <w14:ligatures w14:val="none"/>
        </w:rPr>
        <w:t xml:space="preserve">L 1X PBS </w:t>
      </w:r>
      <w:r>
        <w:rPr>
          <w:rFonts w:ascii="Arial" w:eastAsia="Times New Roman" w:hAnsi="Arial" w:cs="Arial"/>
          <w:kern w:val="0"/>
          <w14:ligatures w14:val="none"/>
        </w:rPr>
        <w:t>and s</w:t>
      </w:r>
      <w:r w:rsidRPr="00AE0AEC">
        <w:rPr>
          <w:rFonts w:ascii="Arial" w:eastAsia="Times New Roman" w:hAnsi="Arial" w:cs="Arial"/>
          <w:kern w:val="0"/>
          <w14:ligatures w14:val="none"/>
        </w:rPr>
        <w:t>pin down 96 well plate at 500</w:t>
      </w:r>
      <w:r>
        <w:rPr>
          <w:rFonts w:ascii="Arial" w:eastAsia="Times New Roman" w:hAnsi="Arial" w:cs="Arial"/>
          <w:kern w:val="0"/>
          <w14:ligatures w14:val="none"/>
        </w:rPr>
        <w:t xml:space="preserve"> </w:t>
      </w:r>
      <w:proofErr w:type="spellStart"/>
      <w:r>
        <w:rPr>
          <w:rFonts w:ascii="Arial" w:eastAsia="Times New Roman" w:hAnsi="Arial" w:cs="Arial"/>
          <w:kern w:val="0"/>
          <w14:ligatures w14:val="none"/>
        </w:rPr>
        <w:t>x</w:t>
      </w:r>
      <w:r w:rsidRPr="00AE0AEC">
        <w:rPr>
          <w:rFonts w:ascii="Arial" w:eastAsia="Times New Roman" w:hAnsi="Arial" w:cs="Arial"/>
          <w:kern w:val="0"/>
          <w14:ligatures w14:val="none"/>
        </w:rPr>
        <w:t>g</w:t>
      </w:r>
      <w:proofErr w:type="spellEnd"/>
      <w:r w:rsidRPr="00AE0AEC">
        <w:rPr>
          <w:rFonts w:ascii="Arial" w:eastAsia="Times New Roman" w:hAnsi="Arial" w:cs="Arial"/>
          <w:kern w:val="0"/>
          <w14:ligatures w14:val="none"/>
        </w:rPr>
        <w:t xml:space="preserve"> for 5 min. </w:t>
      </w:r>
    </w:p>
    <w:p w14:paraId="2349DBB7" w14:textId="77777777" w:rsidR="00AE0AEC" w:rsidRDefault="00AE0AEC" w:rsidP="00AE0AEC">
      <w:pPr>
        <w:numPr>
          <w:ilvl w:val="0"/>
          <w:numId w:val="1"/>
        </w:numPr>
        <w:spacing w:before="100" w:beforeAutospacing="1" w:after="100" w:afterAutospacing="1"/>
        <w:rPr>
          <w:rFonts w:ascii="Arial" w:eastAsia="Times New Roman" w:hAnsi="Arial" w:cs="Arial"/>
          <w:kern w:val="0"/>
          <w14:ligatures w14:val="none"/>
        </w:rPr>
      </w:pPr>
      <w:r w:rsidRPr="00AE0AEC">
        <w:rPr>
          <w:rFonts w:ascii="Arial" w:eastAsia="Times New Roman" w:hAnsi="Arial" w:cs="Arial"/>
          <w:kern w:val="0"/>
          <w14:ligatures w14:val="none"/>
        </w:rPr>
        <w:t xml:space="preserve">Resuspend the protein aggregate in DMEM without phenol red indicator and without FBS. </w:t>
      </w:r>
    </w:p>
    <w:p w14:paraId="2DEA861D" w14:textId="77777777" w:rsidR="00AE0AEC" w:rsidRDefault="00AE0AEC" w:rsidP="00AE0AEC">
      <w:pPr>
        <w:numPr>
          <w:ilvl w:val="0"/>
          <w:numId w:val="1"/>
        </w:numPr>
        <w:spacing w:before="100" w:beforeAutospacing="1" w:after="100" w:afterAutospacing="1"/>
        <w:rPr>
          <w:rFonts w:ascii="Arial" w:eastAsia="Times New Roman" w:hAnsi="Arial" w:cs="Arial"/>
          <w:kern w:val="0"/>
          <w14:ligatures w14:val="none"/>
        </w:rPr>
      </w:pPr>
      <w:r w:rsidRPr="00AE0AEC">
        <w:rPr>
          <w:rFonts w:ascii="Arial" w:eastAsia="Times New Roman" w:hAnsi="Arial" w:cs="Arial"/>
          <w:kern w:val="0"/>
          <w14:ligatures w14:val="none"/>
        </w:rPr>
        <w:t>Add 190</w:t>
      </w:r>
      <w:r>
        <w:rPr>
          <w:rFonts w:ascii="Arial" w:eastAsia="Times New Roman" w:hAnsi="Arial" w:cs="Arial"/>
          <w:kern w:val="0"/>
          <w14:ligatures w14:val="none"/>
        </w:rPr>
        <w:t>µ</w:t>
      </w:r>
      <w:r w:rsidRPr="00AE0AEC">
        <w:rPr>
          <w:rFonts w:ascii="Arial" w:eastAsia="Times New Roman" w:hAnsi="Arial" w:cs="Arial"/>
          <w:kern w:val="0"/>
          <w14:ligatures w14:val="none"/>
        </w:rPr>
        <w:t xml:space="preserve">L of </w:t>
      </w:r>
      <w:r>
        <w:rPr>
          <w:rFonts w:ascii="Arial" w:eastAsia="Times New Roman" w:hAnsi="Arial" w:cs="Arial"/>
          <w:kern w:val="0"/>
          <w14:ligatures w14:val="none"/>
        </w:rPr>
        <w:t>aggregate</w:t>
      </w:r>
      <w:r w:rsidRPr="00AE0AEC">
        <w:rPr>
          <w:rFonts w:ascii="Arial" w:eastAsia="Times New Roman" w:hAnsi="Arial" w:cs="Arial"/>
          <w:kern w:val="0"/>
          <w14:ligatures w14:val="none"/>
        </w:rPr>
        <w:t xml:space="preserve"> suspension to sample wells</w:t>
      </w:r>
      <w:r>
        <w:rPr>
          <w:rFonts w:ascii="Arial" w:eastAsia="Times New Roman" w:hAnsi="Arial" w:cs="Arial"/>
          <w:kern w:val="0"/>
          <w14:ligatures w14:val="none"/>
        </w:rPr>
        <w:t xml:space="preserve">, in triplicate. Additionally, </w:t>
      </w:r>
      <w:r w:rsidRPr="00AE0AEC">
        <w:rPr>
          <w:rFonts w:ascii="Arial" w:eastAsia="Times New Roman" w:hAnsi="Arial" w:cs="Arial"/>
          <w:kern w:val="0"/>
          <w14:ligatures w14:val="none"/>
        </w:rPr>
        <w:t>add 190</w:t>
      </w:r>
      <w:r>
        <w:rPr>
          <w:rFonts w:ascii="Arial" w:eastAsia="Times New Roman" w:hAnsi="Arial" w:cs="Arial"/>
          <w:kern w:val="0"/>
          <w14:ligatures w14:val="none"/>
        </w:rPr>
        <w:t>µ</w:t>
      </w:r>
      <w:r w:rsidRPr="00AE0AEC">
        <w:rPr>
          <w:rFonts w:ascii="Arial" w:eastAsia="Times New Roman" w:hAnsi="Arial" w:cs="Arial"/>
          <w:kern w:val="0"/>
          <w14:ligatures w14:val="none"/>
        </w:rPr>
        <w:t>L of DMEM </w:t>
      </w:r>
      <w:r>
        <w:rPr>
          <w:rFonts w:ascii="Arial" w:eastAsia="Times New Roman" w:hAnsi="Arial" w:cs="Arial"/>
          <w:kern w:val="0"/>
          <w14:ligatures w14:val="none"/>
        </w:rPr>
        <w:t>without</w:t>
      </w:r>
      <w:r w:rsidRPr="00AE0AEC">
        <w:rPr>
          <w:rFonts w:ascii="Arial" w:eastAsia="Times New Roman" w:hAnsi="Arial" w:cs="Arial"/>
          <w:kern w:val="0"/>
          <w14:ligatures w14:val="none"/>
        </w:rPr>
        <w:t xml:space="preserve"> phenol red </w:t>
      </w:r>
      <w:r>
        <w:rPr>
          <w:rFonts w:ascii="Arial" w:eastAsia="Times New Roman" w:hAnsi="Arial" w:cs="Arial"/>
          <w:kern w:val="0"/>
          <w14:ligatures w14:val="none"/>
        </w:rPr>
        <w:t>and without</w:t>
      </w:r>
      <w:r w:rsidRPr="00AE0AEC">
        <w:rPr>
          <w:rFonts w:ascii="Arial" w:eastAsia="Times New Roman" w:hAnsi="Arial" w:cs="Arial"/>
          <w:kern w:val="0"/>
          <w14:ligatures w14:val="none"/>
        </w:rPr>
        <w:t xml:space="preserve"> FBS to control wells. </w:t>
      </w:r>
    </w:p>
    <w:p w14:paraId="2AC98034" w14:textId="77777777" w:rsidR="00AE0AEC" w:rsidRDefault="00AE0AEC" w:rsidP="00AE0AEC">
      <w:pPr>
        <w:numPr>
          <w:ilvl w:val="0"/>
          <w:numId w:val="1"/>
        </w:numPr>
        <w:spacing w:before="100" w:beforeAutospacing="1" w:after="100" w:afterAutospacing="1"/>
        <w:rPr>
          <w:rFonts w:ascii="Arial" w:eastAsia="Times New Roman" w:hAnsi="Arial" w:cs="Arial"/>
          <w:kern w:val="0"/>
          <w14:ligatures w14:val="none"/>
        </w:rPr>
      </w:pPr>
      <w:r w:rsidRPr="00AE0AEC">
        <w:rPr>
          <w:rFonts w:ascii="Arial" w:eastAsia="Times New Roman" w:hAnsi="Arial" w:cs="Arial"/>
          <w:kern w:val="0"/>
          <w14:ligatures w14:val="none"/>
        </w:rPr>
        <w:t>Let sit for 24 hours. </w:t>
      </w:r>
    </w:p>
    <w:p w14:paraId="704AD779" w14:textId="77777777" w:rsidR="000B3929" w:rsidRDefault="00AE0AEC" w:rsidP="000B3929">
      <w:pPr>
        <w:numPr>
          <w:ilvl w:val="0"/>
          <w:numId w:val="1"/>
        </w:numPr>
        <w:spacing w:before="100" w:beforeAutospacing="1" w:after="100" w:afterAutospacing="1"/>
        <w:rPr>
          <w:rFonts w:ascii="Arial" w:eastAsia="Times New Roman" w:hAnsi="Arial" w:cs="Arial"/>
          <w:kern w:val="0"/>
          <w14:ligatures w14:val="none"/>
        </w:rPr>
      </w:pPr>
      <w:r w:rsidRPr="00AE0AEC">
        <w:rPr>
          <w:rFonts w:ascii="Arial" w:eastAsia="Times New Roman" w:hAnsi="Arial" w:cs="Arial"/>
          <w:kern w:val="0"/>
          <w14:ligatures w14:val="none"/>
        </w:rPr>
        <w:t xml:space="preserve">After </w:t>
      </w:r>
      <w:proofErr w:type="gramStart"/>
      <w:r w:rsidRPr="00AE0AEC">
        <w:rPr>
          <w:rFonts w:ascii="Arial" w:eastAsia="Times New Roman" w:hAnsi="Arial" w:cs="Arial"/>
          <w:kern w:val="0"/>
          <w14:ligatures w14:val="none"/>
        </w:rPr>
        <w:t>24 h</w:t>
      </w:r>
      <w:r>
        <w:rPr>
          <w:rFonts w:ascii="Arial" w:eastAsia="Times New Roman" w:hAnsi="Arial" w:cs="Arial"/>
          <w:kern w:val="0"/>
          <w14:ligatures w14:val="none"/>
        </w:rPr>
        <w:t>ou</w:t>
      </w:r>
      <w:r w:rsidRPr="00AE0AEC">
        <w:rPr>
          <w:rFonts w:ascii="Arial" w:eastAsia="Times New Roman" w:hAnsi="Arial" w:cs="Arial"/>
          <w:kern w:val="0"/>
          <w14:ligatures w14:val="none"/>
        </w:rPr>
        <w:t>r</w:t>
      </w:r>
      <w:proofErr w:type="gramEnd"/>
      <w:r w:rsidRPr="00AE0AEC">
        <w:rPr>
          <w:rFonts w:ascii="Arial" w:eastAsia="Times New Roman" w:hAnsi="Arial" w:cs="Arial"/>
          <w:kern w:val="0"/>
          <w14:ligatures w14:val="none"/>
        </w:rPr>
        <w:t> incubation, spin down 96 well plate cells at 500</w:t>
      </w:r>
      <w:r>
        <w:rPr>
          <w:rFonts w:ascii="Arial" w:eastAsia="Times New Roman" w:hAnsi="Arial" w:cs="Arial"/>
          <w:kern w:val="0"/>
          <w14:ligatures w14:val="none"/>
        </w:rPr>
        <w:t xml:space="preserve"> </w:t>
      </w:r>
      <w:proofErr w:type="spellStart"/>
      <w:r>
        <w:rPr>
          <w:rFonts w:ascii="Arial" w:eastAsia="Times New Roman" w:hAnsi="Arial" w:cs="Arial"/>
          <w:kern w:val="0"/>
          <w14:ligatures w14:val="none"/>
        </w:rPr>
        <w:t>x</w:t>
      </w:r>
      <w:r w:rsidRPr="00AE0AEC">
        <w:rPr>
          <w:rFonts w:ascii="Arial" w:eastAsia="Times New Roman" w:hAnsi="Arial" w:cs="Arial"/>
          <w:kern w:val="0"/>
          <w14:ligatures w14:val="none"/>
        </w:rPr>
        <w:t>g</w:t>
      </w:r>
      <w:proofErr w:type="spellEnd"/>
      <w:r w:rsidRPr="00AE0AEC">
        <w:rPr>
          <w:rFonts w:ascii="Arial" w:eastAsia="Times New Roman" w:hAnsi="Arial" w:cs="Arial"/>
          <w:kern w:val="0"/>
          <w14:ligatures w14:val="none"/>
        </w:rPr>
        <w:t xml:space="preserve"> for 5 min.</w:t>
      </w:r>
    </w:p>
    <w:p w14:paraId="39A0EA21" w14:textId="77777777" w:rsidR="000B3929" w:rsidRDefault="00AE0AEC" w:rsidP="000B3929">
      <w:pPr>
        <w:numPr>
          <w:ilvl w:val="0"/>
          <w:numId w:val="1"/>
        </w:numPr>
        <w:spacing w:before="100" w:beforeAutospacing="1" w:after="100" w:afterAutospacing="1"/>
        <w:rPr>
          <w:rFonts w:ascii="Arial" w:eastAsia="Times New Roman" w:hAnsi="Arial" w:cs="Arial"/>
          <w:kern w:val="0"/>
          <w14:ligatures w14:val="none"/>
        </w:rPr>
      </w:pPr>
      <w:r w:rsidRPr="00AE0AEC">
        <w:rPr>
          <w:rFonts w:ascii="Arial" w:eastAsia="Times New Roman" w:hAnsi="Arial" w:cs="Arial"/>
          <w:kern w:val="0"/>
          <w14:ligatures w14:val="none"/>
        </w:rPr>
        <w:t>Aspirate the supernatant using Pasteur pipette and then add 100</w:t>
      </w:r>
      <w:r w:rsidR="000B3929" w:rsidRPr="000B3929">
        <w:rPr>
          <w:rFonts w:ascii="Arial" w:eastAsia="Times New Roman" w:hAnsi="Arial" w:cs="Arial"/>
          <w:kern w:val="0"/>
          <w14:ligatures w14:val="none"/>
        </w:rPr>
        <w:t>µ</w:t>
      </w:r>
      <w:r w:rsidRPr="00AE0AEC">
        <w:rPr>
          <w:rFonts w:ascii="Arial" w:eastAsia="Times New Roman" w:hAnsi="Arial" w:cs="Arial"/>
          <w:kern w:val="0"/>
          <w14:ligatures w14:val="none"/>
        </w:rPr>
        <w:t>L of DMEM w</w:t>
      </w:r>
      <w:r w:rsidR="000B3929" w:rsidRPr="000B3929">
        <w:rPr>
          <w:rFonts w:ascii="Arial" w:eastAsia="Times New Roman" w:hAnsi="Arial" w:cs="Arial"/>
          <w:kern w:val="0"/>
          <w14:ligatures w14:val="none"/>
        </w:rPr>
        <w:t>ithout</w:t>
      </w:r>
      <w:r w:rsidRPr="00AE0AEC">
        <w:rPr>
          <w:rFonts w:ascii="Arial" w:eastAsia="Times New Roman" w:hAnsi="Arial" w:cs="Arial"/>
          <w:kern w:val="0"/>
          <w14:ligatures w14:val="none"/>
        </w:rPr>
        <w:t xml:space="preserve"> phenol red w</w:t>
      </w:r>
      <w:r w:rsidR="000B3929" w:rsidRPr="000B3929">
        <w:rPr>
          <w:rFonts w:ascii="Arial" w:eastAsia="Times New Roman" w:hAnsi="Arial" w:cs="Arial"/>
          <w:kern w:val="0"/>
          <w14:ligatures w14:val="none"/>
        </w:rPr>
        <w:t>ithout</w:t>
      </w:r>
      <w:r w:rsidRPr="00AE0AEC">
        <w:rPr>
          <w:rFonts w:ascii="Arial" w:eastAsia="Times New Roman" w:hAnsi="Arial" w:cs="Arial"/>
          <w:kern w:val="0"/>
          <w14:ligatures w14:val="none"/>
        </w:rPr>
        <w:t xml:space="preserve"> FBS </w:t>
      </w:r>
      <w:r w:rsidR="000B3929" w:rsidRPr="000B3929">
        <w:rPr>
          <w:rFonts w:ascii="Arial" w:eastAsia="Times New Roman" w:hAnsi="Arial" w:cs="Arial"/>
          <w:kern w:val="0"/>
          <w14:ligatures w14:val="none"/>
        </w:rPr>
        <w:t xml:space="preserve">along with </w:t>
      </w:r>
      <w:r w:rsidRPr="00AE0AEC">
        <w:rPr>
          <w:rFonts w:ascii="Arial" w:eastAsia="Times New Roman" w:hAnsi="Arial" w:cs="Arial"/>
          <w:kern w:val="0"/>
          <w14:ligatures w14:val="none"/>
        </w:rPr>
        <w:t>10</w:t>
      </w:r>
      <w:r w:rsidR="000B3929" w:rsidRPr="000B3929">
        <w:rPr>
          <w:rFonts w:ascii="Arial" w:eastAsia="Times New Roman" w:hAnsi="Arial" w:cs="Arial"/>
          <w:kern w:val="0"/>
          <w14:ligatures w14:val="none"/>
        </w:rPr>
        <w:t>µ</w:t>
      </w:r>
      <w:r w:rsidRPr="00AE0AEC">
        <w:rPr>
          <w:rFonts w:ascii="Arial" w:eastAsia="Times New Roman" w:hAnsi="Arial" w:cs="Arial"/>
          <w:kern w:val="0"/>
          <w14:ligatures w14:val="none"/>
        </w:rPr>
        <w:t>L of MTT solution</w:t>
      </w:r>
      <w:r w:rsidR="000B3929" w:rsidRPr="000B3929">
        <w:rPr>
          <w:rFonts w:ascii="Arial" w:eastAsia="Times New Roman" w:hAnsi="Arial" w:cs="Arial"/>
          <w:kern w:val="0"/>
          <w14:ligatures w14:val="none"/>
        </w:rPr>
        <w:t xml:space="preserve"> (prepared at a stock of 5mg/mL in PBS)</w:t>
      </w:r>
      <w:r w:rsidR="000B3929">
        <w:rPr>
          <w:rFonts w:ascii="Arial" w:eastAsia="Times New Roman" w:hAnsi="Arial" w:cs="Arial"/>
          <w:kern w:val="0"/>
          <w14:ligatures w14:val="none"/>
        </w:rPr>
        <w:t>.</w:t>
      </w:r>
      <w:r w:rsidR="000B3929" w:rsidRPr="000B3929">
        <w:rPr>
          <w:rFonts w:ascii="Arial" w:eastAsia="Times New Roman" w:hAnsi="Arial" w:cs="Arial"/>
          <w:kern w:val="0"/>
          <w14:ligatures w14:val="none"/>
        </w:rPr>
        <w:t xml:space="preserve"> </w:t>
      </w:r>
    </w:p>
    <w:p w14:paraId="07CC019A" w14:textId="2624072B" w:rsidR="000B3929" w:rsidRDefault="000B3929" w:rsidP="000B3929">
      <w:pPr>
        <w:numPr>
          <w:ilvl w:val="0"/>
          <w:numId w:val="1"/>
        </w:numPr>
        <w:spacing w:before="100" w:beforeAutospacing="1" w:after="100" w:afterAutospacing="1"/>
        <w:rPr>
          <w:rFonts w:ascii="Arial" w:eastAsia="Times New Roman" w:hAnsi="Arial" w:cs="Arial"/>
          <w:kern w:val="0"/>
          <w14:ligatures w14:val="none"/>
        </w:rPr>
      </w:pPr>
      <w:r>
        <w:rPr>
          <w:rFonts w:ascii="Arial" w:eastAsia="Times New Roman" w:hAnsi="Arial" w:cs="Arial"/>
          <w:kern w:val="0"/>
          <w14:ligatures w14:val="none"/>
        </w:rPr>
        <w:t xml:space="preserve"> </w:t>
      </w:r>
      <w:r w:rsidR="00AE0AEC" w:rsidRPr="00AE0AEC">
        <w:rPr>
          <w:rFonts w:ascii="Arial" w:eastAsia="Times New Roman" w:hAnsi="Arial" w:cs="Arial"/>
          <w:kern w:val="0"/>
          <w14:ligatures w14:val="none"/>
        </w:rPr>
        <w:t>Let MTT incubate with cells for 4 h</w:t>
      </w:r>
      <w:r>
        <w:rPr>
          <w:rFonts w:ascii="Arial" w:eastAsia="Times New Roman" w:hAnsi="Arial" w:cs="Arial"/>
          <w:kern w:val="0"/>
          <w14:ligatures w14:val="none"/>
        </w:rPr>
        <w:t>our</w:t>
      </w:r>
      <w:r w:rsidR="00AE0AEC" w:rsidRPr="00AE0AEC">
        <w:rPr>
          <w:rFonts w:ascii="Arial" w:eastAsia="Times New Roman" w:hAnsi="Arial" w:cs="Arial"/>
          <w:kern w:val="0"/>
          <w14:ligatures w14:val="none"/>
        </w:rPr>
        <w:t>s. </w:t>
      </w:r>
    </w:p>
    <w:p w14:paraId="6EFF8DCD" w14:textId="77777777" w:rsidR="000B3929" w:rsidRDefault="00AE0AEC" w:rsidP="000B3929">
      <w:pPr>
        <w:numPr>
          <w:ilvl w:val="0"/>
          <w:numId w:val="1"/>
        </w:numPr>
        <w:spacing w:before="100" w:beforeAutospacing="1" w:after="100" w:afterAutospacing="1"/>
        <w:rPr>
          <w:rFonts w:ascii="Arial" w:eastAsia="Times New Roman" w:hAnsi="Arial" w:cs="Arial"/>
          <w:kern w:val="0"/>
          <w14:ligatures w14:val="none"/>
        </w:rPr>
      </w:pPr>
      <w:r w:rsidRPr="00AE0AEC">
        <w:rPr>
          <w:rFonts w:ascii="Arial" w:eastAsia="Times New Roman" w:hAnsi="Arial" w:cs="Arial"/>
          <w:kern w:val="0"/>
          <w14:ligatures w14:val="none"/>
        </w:rPr>
        <w:t xml:space="preserve">After </w:t>
      </w:r>
      <w:proofErr w:type="gramStart"/>
      <w:r w:rsidRPr="00AE0AEC">
        <w:rPr>
          <w:rFonts w:ascii="Arial" w:eastAsia="Times New Roman" w:hAnsi="Arial" w:cs="Arial"/>
          <w:kern w:val="0"/>
          <w14:ligatures w14:val="none"/>
        </w:rPr>
        <w:t>4</w:t>
      </w:r>
      <w:r w:rsidR="000B3929">
        <w:rPr>
          <w:rFonts w:ascii="Arial" w:eastAsia="Times New Roman" w:hAnsi="Arial" w:cs="Arial"/>
          <w:kern w:val="0"/>
          <w14:ligatures w14:val="none"/>
        </w:rPr>
        <w:t xml:space="preserve"> hour</w:t>
      </w:r>
      <w:proofErr w:type="gramEnd"/>
      <w:r w:rsidRPr="00AE0AEC">
        <w:rPr>
          <w:rFonts w:ascii="Arial" w:eastAsia="Times New Roman" w:hAnsi="Arial" w:cs="Arial"/>
          <w:kern w:val="0"/>
          <w14:ligatures w14:val="none"/>
        </w:rPr>
        <w:t xml:space="preserve"> incubation, spin cells down at 500</w:t>
      </w:r>
      <w:r w:rsidR="000B3929">
        <w:rPr>
          <w:rFonts w:ascii="Arial" w:eastAsia="Times New Roman" w:hAnsi="Arial" w:cs="Arial"/>
          <w:kern w:val="0"/>
          <w14:ligatures w14:val="none"/>
        </w:rPr>
        <w:t xml:space="preserve"> </w:t>
      </w:r>
      <w:proofErr w:type="spellStart"/>
      <w:r w:rsidR="000B3929">
        <w:rPr>
          <w:rFonts w:ascii="Arial" w:eastAsia="Times New Roman" w:hAnsi="Arial" w:cs="Arial"/>
          <w:kern w:val="0"/>
          <w14:ligatures w14:val="none"/>
        </w:rPr>
        <w:t>x</w:t>
      </w:r>
      <w:r w:rsidRPr="00AE0AEC">
        <w:rPr>
          <w:rFonts w:ascii="Arial" w:eastAsia="Times New Roman" w:hAnsi="Arial" w:cs="Arial"/>
          <w:kern w:val="0"/>
          <w14:ligatures w14:val="none"/>
        </w:rPr>
        <w:t>g</w:t>
      </w:r>
      <w:proofErr w:type="spellEnd"/>
      <w:r w:rsidRPr="00AE0AEC">
        <w:rPr>
          <w:rFonts w:ascii="Arial" w:eastAsia="Times New Roman" w:hAnsi="Arial" w:cs="Arial"/>
          <w:kern w:val="0"/>
          <w14:ligatures w14:val="none"/>
        </w:rPr>
        <w:t xml:space="preserve"> for 5 min, and aspirate supernatant. </w:t>
      </w:r>
    </w:p>
    <w:p w14:paraId="7205F0E6" w14:textId="77777777" w:rsidR="000B3929" w:rsidRDefault="00AE0AEC" w:rsidP="000B3929">
      <w:pPr>
        <w:numPr>
          <w:ilvl w:val="0"/>
          <w:numId w:val="1"/>
        </w:numPr>
        <w:spacing w:before="100" w:beforeAutospacing="1" w:after="100" w:afterAutospacing="1"/>
        <w:rPr>
          <w:rFonts w:ascii="Arial" w:eastAsia="Times New Roman" w:hAnsi="Arial" w:cs="Arial"/>
          <w:kern w:val="0"/>
          <w14:ligatures w14:val="none"/>
        </w:rPr>
      </w:pPr>
      <w:r w:rsidRPr="00AE0AEC">
        <w:rPr>
          <w:rFonts w:ascii="Arial" w:eastAsia="Times New Roman" w:hAnsi="Arial" w:cs="Arial"/>
          <w:kern w:val="0"/>
          <w14:ligatures w14:val="none"/>
        </w:rPr>
        <w:lastRenderedPageBreak/>
        <w:t>Then, add 100</w:t>
      </w:r>
      <w:r w:rsidR="000B3929">
        <w:rPr>
          <w:rFonts w:ascii="Arial" w:eastAsia="Times New Roman" w:hAnsi="Arial" w:cs="Arial"/>
          <w:kern w:val="0"/>
          <w14:ligatures w14:val="none"/>
        </w:rPr>
        <w:t>µ</w:t>
      </w:r>
      <w:r w:rsidRPr="00AE0AEC">
        <w:rPr>
          <w:rFonts w:ascii="Arial" w:eastAsia="Times New Roman" w:hAnsi="Arial" w:cs="Arial"/>
          <w:kern w:val="0"/>
          <w14:ligatures w14:val="none"/>
        </w:rPr>
        <w:t xml:space="preserve">L of DMSO to each well, pipetting up and down vigorously to solubilize formazan. </w:t>
      </w:r>
    </w:p>
    <w:p w14:paraId="0ED11BF0" w14:textId="4C594D65" w:rsidR="00AE0AEC" w:rsidRDefault="00AE0AEC" w:rsidP="000B3929">
      <w:pPr>
        <w:numPr>
          <w:ilvl w:val="0"/>
          <w:numId w:val="1"/>
        </w:numPr>
        <w:spacing w:before="100" w:beforeAutospacing="1" w:after="100" w:afterAutospacing="1"/>
        <w:rPr>
          <w:rFonts w:ascii="Arial" w:eastAsia="Times New Roman" w:hAnsi="Arial" w:cs="Arial"/>
          <w:kern w:val="0"/>
          <w14:ligatures w14:val="none"/>
        </w:rPr>
      </w:pPr>
      <w:r w:rsidRPr="00AE0AEC">
        <w:rPr>
          <w:rFonts w:ascii="Arial" w:eastAsia="Times New Roman" w:hAnsi="Arial" w:cs="Arial"/>
          <w:kern w:val="0"/>
          <w14:ligatures w14:val="none"/>
        </w:rPr>
        <w:t>Place in 37</w:t>
      </w:r>
      <w:r w:rsidR="000B3929">
        <w:rPr>
          <w:rFonts w:ascii="Arial" w:eastAsia="Times New Roman" w:hAnsi="Arial" w:cs="Arial"/>
          <w:kern w:val="0"/>
          <w:vertAlign w:val="superscript"/>
          <w14:ligatures w14:val="none"/>
        </w:rPr>
        <w:t>o</w:t>
      </w:r>
      <w:r w:rsidRPr="00AE0AEC">
        <w:rPr>
          <w:rFonts w:ascii="Arial" w:eastAsia="Times New Roman" w:hAnsi="Arial" w:cs="Arial"/>
          <w:kern w:val="0"/>
          <w14:ligatures w14:val="none"/>
        </w:rPr>
        <w:t>C incubator for 5 min</w:t>
      </w:r>
      <w:r w:rsidR="000B3929">
        <w:rPr>
          <w:rFonts w:ascii="Arial" w:eastAsia="Times New Roman" w:hAnsi="Arial" w:cs="Arial"/>
          <w:kern w:val="0"/>
          <w14:ligatures w14:val="none"/>
        </w:rPr>
        <w:t>utes</w:t>
      </w:r>
    </w:p>
    <w:p w14:paraId="11DA8E2C" w14:textId="379C0C47" w:rsidR="00066C37" w:rsidRDefault="000B3929" w:rsidP="00066C37">
      <w:pPr>
        <w:numPr>
          <w:ilvl w:val="0"/>
          <w:numId w:val="1"/>
        </w:numPr>
        <w:spacing w:before="100" w:beforeAutospacing="1" w:after="100" w:afterAutospacing="1"/>
        <w:rPr>
          <w:rFonts w:ascii="Arial" w:eastAsia="Times New Roman" w:hAnsi="Arial" w:cs="Arial"/>
          <w:kern w:val="0"/>
          <w14:ligatures w14:val="none"/>
        </w:rPr>
      </w:pPr>
      <w:r>
        <w:rPr>
          <w:rFonts w:ascii="Arial" w:eastAsia="Times New Roman" w:hAnsi="Arial" w:cs="Arial"/>
          <w:kern w:val="0"/>
          <w14:ligatures w14:val="none"/>
        </w:rPr>
        <w:t>Analyze the absorbance at 570 nm.</w:t>
      </w:r>
    </w:p>
    <w:p w14:paraId="42ED3E64" w14:textId="2E6D3565" w:rsidR="00066C37" w:rsidRPr="00066C37" w:rsidRDefault="00066C37" w:rsidP="00066C37">
      <w:pPr>
        <w:spacing w:before="100" w:beforeAutospacing="1" w:after="100" w:afterAutospacing="1"/>
        <w:rPr>
          <w:rFonts w:ascii="Arial" w:eastAsia="Times New Roman" w:hAnsi="Arial" w:cs="Arial"/>
          <w:kern w:val="0"/>
          <w14:ligatures w14:val="none"/>
        </w:rPr>
      </w:pPr>
      <w:r>
        <w:rPr>
          <w:rFonts w:ascii="Arial" w:eastAsia="Times New Roman" w:hAnsi="Arial" w:cs="Arial"/>
          <w:b/>
          <w:bCs/>
          <w:kern w:val="0"/>
          <w14:ligatures w14:val="none"/>
        </w:rPr>
        <w:t xml:space="preserve">Table 1. </w:t>
      </w:r>
      <w:r>
        <w:rPr>
          <w:rFonts w:ascii="Arial" w:eastAsia="Times New Roman" w:hAnsi="Arial" w:cs="Arial"/>
          <w:kern w:val="0"/>
          <w14:ligatures w14:val="none"/>
        </w:rPr>
        <w:t>Sample layout</w:t>
      </w:r>
    </w:p>
    <w:tbl>
      <w:tblPr>
        <w:tblStyle w:val="TableGrid"/>
        <w:tblW w:w="0" w:type="auto"/>
        <w:jc w:val="center"/>
        <w:tblLayout w:type="fixed"/>
        <w:tblLook w:val="04A0" w:firstRow="1" w:lastRow="0" w:firstColumn="1" w:lastColumn="0" w:noHBand="0" w:noVBand="1"/>
      </w:tblPr>
      <w:tblGrid>
        <w:gridCol w:w="510"/>
        <w:gridCol w:w="1069"/>
        <w:gridCol w:w="1069"/>
        <w:gridCol w:w="1069"/>
        <w:gridCol w:w="1069"/>
        <w:gridCol w:w="1069"/>
        <w:gridCol w:w="1070"/>
        <w:gridCol w:w="485"/>
        <w:gridCol w:w="485"/>
        <w:gridCol w:w="485"/>
        <w:gridCol w:w="485"/>
        <w:gridCol w:w="485"/>
      </w:tblGrid>
      <w:tr w:rsidR="00066C37" w14:paraId="6FA3BB78" w14:textId="77777777" w:rsidTr="00066C37">
        <w:trPr>
          <w:jc w:val="center"/>
        </w:trPr>
        <w:tc>
          <w:tcPr>
            <w:tcW w:w="510" w:type="dxa"/>
          </w:tcPr>
          <w:p w14:paraId="1DF53349" w14:textId="49A120C1" w:rsidR="00D64845" w:rsidRDefault="00D64845" w:rsidP="00D64845">
            <w:pPr>
              <w:spacing w:before="100" w:beforeAutospacing="1" w:after="100" w:afterAutospacing="1"/>
              <w:rPr>
                <w:rFonts w:ascii="Arial" w:eastAsia="Times New Roman" w:hAnsi="Arial" w:cs="Arial"/>
                <w:kern w:val="0"/>
                <w14:ligatures w14:val="none"/>
              </w:rPr>
            </w:pPr>
            <w:r>
              <w:rPr>
                <w:rFonts w:ascii="Arial" w:eastAsia="Times New Roman" w:hAnsi="Arial" w:cs="Arial"/>
                <w:kern w:val="0"/>
                <w14:ligatures w14:val="none"/>
              </w:rPr>
              <w:t>A1</w:t>
            </w:r>
          </w:p>
        </w:tc>
        <w:tc>
          <w:tcPr>
            <w:tcW w:w="1069" w:type="dxa"/>
          </w:tcPr>
          <w:p w14:paraId="368B244C" w14:textId="5444092E" w:rsidR="00D64845" w:rsidRDefault="00D64845" w:rsidP="00D64845">
            <w:pPr>
              <w:spacing w:before="100" w:beforeAutospacing="1" w:after="100" w:afterAutospacing="1"/>
              <w:jc w:val="center"/>
              <w:rPr>
                <w:rFonts w:ascii="Arial" w:eastAsia="Times New Roman" w:hAnsi="Arial" w:cs="Arial"/>
                <w:kern w:val="0"/>
                <w14:ligatures w14:val="none"/>
              </w:rPr>
            </w:pPr>
            <w:r>
              <w:rPr>
                <w:rFonts w:ascii="Arial" w:eastAsia="Times New Roman" w:hAnsi="Arial" w:cs="Arial"/>
                <w:kern w:val="0"/>
                <w14:ligatures w14:val="none"/>
              </w:rPr>
              <w:t>2</w:t>
            </w:r>
          </w:p>
        </w:tc>
        <w:tc>
          <w:tcPr>
            <w:tcW w:w="1069" w:type="dxa"/>
          </w:tcPr>
          <w:p w14:paraId="0C0ABC8A" w14:textId="51210533" w:rsidR="00D64845" w:rsidRDefault="00D64845" w:rsidP="00D64845">
            <w:pPr>
              <w:spacing w:before="100" w:beforeAutospacing="1" w:after="100" w:afterAutospacing="1"/>
              <w:jc w:val="center"/>
              <w:rPr>
                <w:rFonts w:ascii="Arial" w:eastAsia="Times New Roman" w:hAnsi="Arial" w:cs="Arial"/>
                <w:kern w:val="0"/>
                <w14:ligatures w14:val="none"/>
              </w:rPr>
            </w:pPr>
            <w:r>
              <w:rPr>
                <w:rFonts w:ascii="Arial" w:eastAsia="Times New Roman" w:hAnsi="Arial" w:cs="Arial"/>
                <w:kern w:val="0"/>
                <w14:ligatures w14:val="none"/>
              </w:rPr>
              <w:t>3</w:t>
            </w:r>
          </w:p>
        </w:tc>
        <w:tc>
          <w:tcPr>
            <w:tcW w:w="1069" w:type="dxa"/>
          </w:tcPr>
          <w:p w14:paraId="12EFAD3D" w14:textId="7AD1470C" w:rsidR="00D64845" w:rsidRDefault="00D64845" w:rsidP="00D64845">
            <w:pPr>
              <w:spacing w:before="100" w:beforeAutospacing="1" w:after="100" w:afterAutospacing="1"/>
              <w:jc w:val="center"/>
              <w:rPr>
                <w:rFonts w:ascii="Arial" w:eastAsia="Times New Roman" w:hAnsi="Arial" w:cs="Arial"/>
                <w:kern w:val="0"/>
                <w14:ligatures w14:val="none"/>
              </w:rPr>
            </w:pPr>
            <w:r>
              <w:rPr>
                <w:rFonts w:ascii="Arial" w:eastAsia="Times New Roman" w:hAnsi="Arial" w:cs="Arial"/>
                <w:kern w:val="0"/>
                <w14:ligatures w14:val="none"/>
              </w:rPr>
              <w:t>4</w:t>
            </w:r>
          </w:p>
        </w:tc>
        <w:tc>
          <w:tcPr>
            <w:tcW w:w="1069" w:type="dxa"/>
          </w:tcPr>
          <w:p w14:paraId="0FD5ABFE" w14:textId="499F892D" w:rsidR="00D64845" w:rsidRDefault="00D64845" w:rsidP="00D64845">
            <w:pPr>
              <w:spacing w:before="100" w:beforeAutospacing="1" w:after="100" w:afterAutospacing="1"/>
              <w:jc w:val="center"/>
              <w:rPr>
                <w:rFonts w:ascii="Arial" w:eastAsia="Times New Roman" w:hAnsi="Arial" w:cs="Arial"/>
                <w:kern w:val="0"/>
                <w14:ligatures w14:val="none"/>
              </w:rPr>
            </w:pPr>
            <w:r>
              <w:rPr>
                <w:rFonts w:ascii="Arial" w:eastAsia="Times New Roman" w:hAnsi="Arial" w:cs="Arial"/>
                <w:kern w:val="0"/>
                <w14:ligatures w14:val="none"/>
              </w:rPr>
              <w:t>5</w:t>
            </w:r>
          </w:p>
        </w:tc>
        <w:tc>
          <w:tcPr>
            <w:tcW w:w="1069" w:type="dxa"/>
          </w:tcPr>
          <w:p w14:paraId="1333F6E8" w14:textId="085E59E5" w:rsidR="00D64845" w:rsidRDefault="00D64845" w:rsidP="00D64845">
            <w:pPr>
              <w:spacing w:before="100" w:beforeAutospacing="1" w:after="100" w:afterAutospacing="1"/>
              <w:jc w:val="center"/>
              <w:rPr>
                <w:rFonts w:ascii="Arial" w:eastAsia="Times New Roman" w:hAnsi="Arial" w:cs="Arial"/>
                <w:kern w:val="0"/>
                <w14:ligatures w14:val="none"/>
              </w:rPr>
            </w:pPr>
            <w:r>
              <w:rPr>
                <w:rFonts w:ascii="Arial" w:eastAsia="Times New Roman" w:hAnsi="Arial" w:cs="Arial"/>
                <w:kern w:val="0"/>
                <w14:ligatures w14:val="none"/>
              </w:rPr>
              <w:t>6</w:t>
            </w:r>
          </w:p>
        </w:tc>
        <w:tc>
          <w:tcPr>
            <w:tcW w:w="1070" w:type="dxa"/>
          </w:tcPr>
          <w:p w14:paraId="4B93EEA2" w14:textId="26AB51CD" w:rsidR="00D64845" w:rsidRDefault="00D64845" w:rsidP="00D64845">
            <w:pPr>
              <w:spacing w:before="100" w:beforeAutospacing="1" w:after="100" w:afterAutospacing="1"/>
              <w:jc w:val="center"/>
              <w:rPr>
                <w:rFonts w:ascii="Arial" w:eastAsia="Times New Roman" w:hAnsi="Arial" w:cs="Arial"/>
                <w:kern w:val="0"/>
                <w14:ligatures w14:val="none"/>
              </w:rPr>
            </w:pPr>
            <w:r>
              <w:rPr>
                <w:rFonts w:ascii="Arial" w:eastAsia="Times New Roman" w:hAnsi="Arial" w:cs="Arial"/>
                <w:kern w:val="0"/>
                <w14:ligatures w14:val="none"/>
              </w:rPr>
              <w:t>7</w:t>
            </w:r>
          </w:p>
        </w:tc>
        <w:tc>
          <w:tcPr>
            <w:tcW w:w="485" w:type="dxa"/>
          </w:tcPr>
          <w:p w14:paraId="05369A37" w14:textId="156DF460" w:rsidR="00D64845" w:rsidRDefault="00D64845" w:rsidP="00D64845">
            <w:pPr>
              <w:spacing w:before="100" w:beforeAutospacing="1" w:after="100" w:afterAutospacing="1"/>
              <w:jc w:val="center"/>
              <w:rPr>
                <w:rFonts w:ascii="Arial" w:eastAsia="Times New Roman" w:hAnsi="Arial" w:cs="Arial"/>
                <w:kern w:val="0"/>
                <w14:ligatures w14:val="none"/>
              </w:rPr>
            </w:pPr>
            <w:r>
              <w:rPr>
                <w:rFonts w:ascii="Arial" w:eastAsia="Times New Roman" w:hAnsi="Arial" w:cs="Arial"/>
                <w:kern w:val="0"/>
                <w14:ligatures w14:val="none"/>
              </w:rPr>
              <w:t>8</w:t>
            </w:r>
          </w:p>
        </w:tc>
        <w:tc>
          <w:tcPr>
            <w:tcW w:w="485" w:type="dxa"/>
          </w:tcPr>
          <w:p w14:paraId="1AC6EFE6" w14:textId="3644C49E" w:rsidR="00D64845" w:rsidRDefault="00D64845" w:rsidP="00D64845">
            <w:pPr>
              <w:spacing w:before="100" w:beforeAutospacing="1" w:after="100" w:afterAutospacing="1"/>
              <w:jc w:val="center"/>
              <w:rPr>
                <w:rFonts w:ascii="Arial" w:eastAsia="Times New Roman" w:hAnsi="Arial" w:cs="Arial"/>
                <w:kern w:val="0"/>
                <w14:ligatures w14:val="none"/>
              </w:rPr>
            </w:pPr>
            <w:r>
              <w:rPr>
                <w:rFonts w:ascii="Arial" w:eastAsia="Times New Roman" w:hAnsi="Arial" w:cs="Arial"/>
                <w:kern w:val="0"/>
                <w14:ligatures w14:val="none"/>
              </w:rPr>
              <w:t>9</w:t>
            </w:r>
          </w:p>
        </w:tc>
        <w:tc>
          <w:tcPr>
            <w:tcW w:w="485" w:type="dxa"/>
          </w:tcPr>
          <w:p w14:paraId="5CEDFBB5" w14:textId="7E33FA8E" w:rsidR="00D64845" w:rsidRDefault="00D64845" w:rsidP="00D64845">
            <w:pPr>
              <w:spacing w:before="100" w:beforeAutospacing="1" w:after="100" w:afterAutospacing="1"/>
              <w:jc w:val="center"/>
              <w:rPr>
                <w:rFonts w:ascii="Arial" w:eastAsia="Times New Roman" w:hAnsi="Arial" w:cs="Arial"/>
                <w:kern w:val="0"/>
                <w14:ligatures w14:val="none"/>
              </w:rPr>
            </w:pPr>
            <w:r>
              <w:rPr>
                <w:rFonts w:ascii="Arial" w:eastAsia="Times New Roman" w:hAnsi="Arial" w:cs="Arial"/>
                <w:kern w:val="0"/>
                <w14:ligatures w14:val="none"/>
              </w:rPr>
              <w:t>10</w:t>
            </w:r>
          </w:p>
        </w:tc>
        <w:tc>
          <w:tcPr>
            <w:tcW w:w="485" w:type="dxa"/>
          </w:tcPr>
          <w:p w14:paraId="30DE2E97" w14:textId="09BDE9CE" w:rsidR="00D64845" w:rsidRDefault="00D64845" w:rsidP="00D64845">
            <w:pPr>
              <w:spacing w:before="100" w:beforeAutospacing="1" w:after="100" w:afterAutospacing="1"/>
              <w:jc w:val="center"/>
              <w:rPr>
                <w:rFonts w:ascii="Arial" w:eastAsia="Times New Roman" w:hAnsi="Arial" w:cs="Arial"/>
                <w:kern w:val="0"/>
                <w14:ligatures w14:val="none"/>
              </w:rPr>
            </w:pPr>
            <w:r>
              <w:rPr>
                <w:rFonts w:ascii="Arial" w:eastAsia="Times New Roman" w:hAnsi="Arial" w:cs="Arial"/>
                <w:kern w:val="0"/>
                <w14:ligatures w14:val="none"/>
              </w:rPr>
              <w:t>11</w:t>
            </w:r>
          </w:p>
        </w:tc>
        <w:tc>
          <w:tcPr>
            <w:tcW w:w="485" w:type="dxa"/>
          </w:tcPr>
          <w:p w14:paraId="56AE168B" w14:textId="25159A16" w:rsidR="00D64845" w:rsidRDefault="00D64845" w:rsidP="00D64845">
            <w:pPr>
              <w:spacing w:before="100" w:beforeAutospacing="1" w:after="100" w:afterAutospacing="1"/>
              <w:jc w:val="center"/>
              <w:rPr>
                <w:rFonts w:ascii="Arial" w:eastAsia="Times New Roman" w:hAnsi="Arial" w:cs="Arial"/>
                <w:kern w:val="0"/>
                <w14:ligatures w14:val="none"/>
              </w:rPr>
            </w:pPr>
            <w:r>
              <w:rPr>
                <w:rFonts w:ascii="Arial" w:eastAsia="Times New Roman" w:hAnsi="Arial" w:cs="Arial"/>
                <w:kern w:val="0"/>
                <w14:ligatures w14:val="none"/>
              </w:rPr>
              <w:t>12</w:t>
            </w:r>
          </w:p>
        </w:tc>
      </w:tr>
      <w:tr w:rsidR="00066C37" w14:paraId="6DD3BDE1" w14:textId="77777777" w:rsidTr="00066C37">
        <w:trPr>
          <w:jc w:val="center"/>
        </w:trPr>
        <w:tc>
          <w:tcPr>
            <w:tcW w:w="510" w:type="dxa"/>
          </w:tcPr>
          <w:p w14:paraId="10D08BA9" w14:textId="45727457" w:rsidR="00066C37" w:rsidRDefault="00066C37" w:rsidP="00066C37">
            <w:pPr>
              <w:spacing w:before="100" w:beforeAutospacing="1" w:after="100" w:afterAutospacing="1"/>
              <w:rPr>
                <w:rFonts w:ascii="Arial" w:eastAsia="Times New Roman" w:hAnsi="Arial" w:cs="Arial"/>
                <w:kern w:val="0"/>
                <w14:ligatures w14:val="none"/>
              </w:rPr>
            </w:pPr>
            <w:r>
              <w:rPr>
                <w:rFonts w:ascii="Arial" w:eastAsia="Times New Roman" w:hAnsi="Arial" w:cs="Arial"/>
                <w:kern w:val="0"/>
                <w14:ligatures w14:val="none"/>
              </w:rPr>
              <w:t>B</w:t>
            </w:r>
          </w:p>
        </w:tc>
        <w:tc>
          <w:tcPr>
            <w:tcW w:w="1069" w:type="dxa"/>
          </w:tcPr>
          <w:p w14:paraId="7412A2DA" w14:textId="0FB3C761"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Sample 1</w:t>
            </w:r>
          </w:p>
        </w:tc>
        <w:tc>
          <w:tcPr>
            <w:tcW w:w="1069" w:type="dxa"/>
          </w:tcPr>
          <w:p w14:paraId="32F6072E" w14:textId="4D3A8A28"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5F484A">
              <w:rPr>
                <w:rFonts w:ascii="Arial" w:eastAsia="Times New Roman" w:hAnsi="Arial" w:cs="Arial"/>
                <w:kern w:val="0"/>
                <w:sz w:val="18"/>
                <w:szCs w:val="18"/>
                <w14:ligatures w14:val="none"/>
              </w:rPr>
              <w:t>Sample 2</w:t>
            </w:r>
          </w:p>
        </w:tc>
        <w:tc>
          <w:tcPr>
            <w:tcW w:w="1069" w:type="dxa"/>
          </w:tcPr>
          <w:p w14:paraId="237E4090" w14:textId="687BE030"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Sample 3</w:t>
            </w:r>
          </w:p>
        </w:tc>
        <w:tc>
          <w:tcPr>
            <w:tcW w:w="1069" w:type="dxa"/>
          </w:tcPr>
          <w:p w14:paraId="3D7F876A" w14:textId="653E28AC"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Sample 4</w:t>
            </w:r>
          </w:p>
        </w:tc>
        <w:tc>
          <w:tcPr>
            <w:tcW w:w="1069" w:type="dxa"/>
          </w:tcPr>
          <w:p w14:paraId="607AC2B3" w14:textId="335474BA"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Sample 5</w:t>
            </w:r>
          </w:p>
        </w:tc>
        <w:tc>
          <w:tcPr>
            <w:tcW w:w="1070" w:type="dxa"/>
          </w:tcPr>
          <w:p w14:paraId="608C3B05" w14:textId="02501CB1"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Sample 6</w:t>
            </w:r>
          </w:p>
        </w:tc>
        <w:tc>
          <w:tcPr>
            <w:tcW w:w="485" w:type="dxa"/>
          </w:tcPr>
          <w:p w14:paraId="7EC12187" w14:textId="7777777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52303BC4" w14:textId="7777777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1F71B4A2" w14:textId="7777777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682B69F0" w14:textId="7777777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648C1A24" w14:textId="77777777" w:rsidR="00066C37" w:rsidRDefault="00066C37" w:rsidP="00066C37">
            <w:pPr>
              <w:spacing w:before="100" w:beforeAutospacing="1" w:after="100" w:afterAutospacing="1"/>
              <w:rPr>
                <w:rFonts w:ascii="Arial" w:eastAsia="Times New Roman" w:hAnsi="Arial" w:cs="Arial"/>
                <w:kern w:val="0"/>
                <w14:ligatures w14:val="none"/>
              </w:rPr>
            </w:pPr>
          </w:p>
        </w:tc>
      </w:tr>
      <w:tr w:rsidR="00066C37" w14:paraId="6DA42519" w14:textId="77777777" w:rsidTr="00066C37">
        <w:trPr>
          <w:jc w:val="center"/>
        </w:trPr>
        <w:tc>
          <w:tcPr>
            <w:tcW w:w="510" w:type="dxa"/>
          </w:tcPr>
          <w:p w14:paraId="7F498AA2" w14:textId="52E5FA7B" w:rsidR="00066C37" w:rsidRDefault="00066C37" w:rsidP="00066C37">
            <w:pPr>
              <w:spacing w:before="100" w:beforeAutospacing="1" w:after="100" w:afterAutospacing="1"/>
              <w:rPr>
                <w:rFonts w:ascii="Arial" w:eastAsia="Times New Roman" w:hAnsi="Arial" w:cs="Arial"/>
                <w:kern w:val="0"/>
                <w14:ligatures w14:val="none"/>
              </w:rPr>
            </w:pPr>
            <w:r>
              <w:rPr>
                <w:rFonts w:ascii="Arial" w:eastAsia="Times New Roman" w:hAnsi="Arial" w:cs="Arial"/>
                <w:kern w:val="0"/>
                <w14:ligatures w14:val="none"/>
              </w:rPr>
              <w:t>C</w:t>
            </w:r>
          </w:p>
        </w:tc>
        <w:tc>
          <w:tcPr>
            <w:tcW w:w="1069" w:type="dxa"/>
          </w:tcPr>
          <w:p w14:paraId="04254DAC" w14:textId="65FE8478"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8664EE">
              <w:rPr>
                <w:rFonts w:ascii="Arial" w:eastAsia="Times New Roman" w:hAnsi="Arial" w:cs="Arial"/>
                <w:kern w:val="0"/>
                <w:sz w:val="18"/>
                <w:szCs w:val="18"/>
                <w14:ligatures w14:val="none"/>
              </w:rPr>
              <w:t>Sample 1</w:t>
            </w:r>
          </w:p>
        </w:tc>
        <w:tc>
          <w:tcPr>
            <w:tcW w:w="1069" w:type="dxa"/>
          </w:tcPr>
          <w:p w14:paraId="72A1CF18" w14:textId="0D7FE453"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5F484A">
              <w:rPr>
                <w:rFonts w:ascii="Arial" w:eastAsia="Times New Roman" w:hAnsi="Arial" w:cs="Arial"/>
                <w:kern w:val="0"/>
                <w:sz w:val="18"/>
                <w:szCs w:val="18"/>
                <w14:ligatures w14:val="none"/>
              </w:rPr>
              <w:t>Sample 2</w:t>
            </w:r>
          </w:p>
        </w:tc>
        <w:tc>
          <w:tcPr>
            <w:tcW w:w="1069" w:type="dxa"/>
          </w:tcPr>
          <w:p w14:paraId="4492CAB9" w14:textId="573723F6"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F37890">
              <w:rPr>
                <w:rFonts w:ascii="Arial" w:eastAsia="Times New Roman" w:hAnsi="Arial" w:cs="Arial"/>
                <w:kern w:val="0"/>
                <w:sz w:val="18"/>
                <w:szCs w:val="18"/>
                <w14:ligatures w14:val="none"/>
              </w:rPr>
              <w:t>Sample 3</w:t>
            </w:r>
          </w:p>
        </w:tc>
        <w:tc>
          <w:tcPr>
            <w:tcW w:w="1069" w:type="dxa"/>
          </w:tcPr>
          <w:p w14:paraId="4E77F08D" w14:textId="389F6DCD"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B65F46">
              <w:rPr>
                <w:rFonts w:ascii="Arial" w:eastAsia="Times New Roman" w:hAnsi="Arial" w:cs="Arial"/>
                <w:kern w:val="0"/>
                <w:sz w:val="18"/>
                <w:szCs w:val="18"/>
                <w14:ligatures w14:val="none"/>
              </w:rPr>
              <w:t>Sample 4</w:t>
            </w:r>
          </w:p>
        </w:tc>
        <w:tc>
          <w:tcPr>
            <w:tcW w:w="1069" w:type="dxa"/>
          </w:tcPr>
          <w:p w14:paraId="6A5426CA" w14:textId="4DA0ACD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A165CF">
              <w:rPr>
                <w:rFonts w:ascii="Arial" w:eastAsia="Times New Roman" w:hAnsi="Arial" w:cs="Arial"/>
                <w:kern w:val="0"/>
                <w:sz w:val="18"/>
                <w:szCs w:val="18"/>
                <w14:ligatures w14:val="none"/>
              </w:rPr>
              <w:t>Sample 5</w:t>
            </w:r>
          </w:p>
        </w:tc>
        <w:tc>
          <w:tcPr>
            <w:tcW w:w="1070" w:type="dxa"/>
          </w:tcPr>
          <w:p w14:paraId="3960FDDB" w14:textId="21E33628"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2802CA">
              <w:rPr>
                <w:rFonts w:ascii="Arial" w:eastAsia="Times New Roman" w:hAnsi="Arial" w:cs="Arial"/>
                <w:kern w:val="0"/>
                <w:sz w:val="18"/>
                <w:szCs w:val="18"/>
                <w14:ligatures w14:val="none"/>
              </w:rPr>
              <w:t>Sample 6</w:t>
            </w:r>
          </w:p>
        </w:tc>
        <w:tc>
          <w:tcPr>
            <w:tcW w:w="485" w:type="dxa"/>
          </w:tcPr>
          <w:p w14:paraId="58F798AB" w14:textId="7777777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2DA8B75B" w14:textId="7777777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3C8EF2BA" w14:textId="7777777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5302AD26" w14:textId="7777777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28B97401" w14:textId="77777777" w:rsidR="00066C37" w:rsidRDefault="00066C37" w:rsidP="00066C37">
            <w:pPr>
              <w:spacing w:before="100" w:beforeAutospacing="1" w:after="100" w:afterAutospacing="1"/>
              <w:rPr>
                <w:rFonts w:ascii="Arial" w:eastAsia="Times New Roman" w:hAnsi="Arial" w:cs="Arial"/>
                <w:kern w:val="0"/>
                <w14:ligatures w14:val="none"/>
              </w:rPr>
            </w:pPr>
          </w:p>
        </w:tc>
      </w:tr>
      <w:tr w:rsidR="00066C37" w14:paraId="4E558BEC" w14:textId="77777777" w:rsidTr="00066C37">
        <w:trPr>
          <w:jc w:val="center"/>
        </w:trPr>
        <w:tc>
          <w:tcPr>
            <w:tcW w:w="510" w:type="dxa"/>
          </w:tcPr>
          <w:p w14:paraId="310DF7E8" w14:textId="5BC72875" w:rsidR="00066C37" w:rsidRDefault="00066C37" w:rsidP="00066C37">
            <w:pPr>
              <w:spacing w:before="100" w:beforeAutospacing="1" w:after="100" w:afterAutospacing="1"/>
              <w:rPr>
                <w:rFonts w:ascii="Arial" w:eastAsia="Times New Roman" w:hAnsi="Arial" w:cs="Arial"/>
                <w:kern w:val="0"/>
                <w14:ligatures w14:val="none"/>
              </w:rPr>
            </w:pPr>
            <w:r>
              <w:rPr>
                <w:rFonts w:ascii="Arial" w:eastAsia="Times New Roman" w:hAnsi="Arial" w:cs="Arial"/>
                <w:kern w:val="0"/>
                <w14:ligatures w14:val="none"/>
              </w:rPr>
              <w:t>D</w:t>
            </w:r>
          </w:p>
        </w:tc>
        <w:tc>
          <w:tcPr>
            <w:tcW w:w="1069" w:type="dxa"/>
          </w:tcPr>
          <w:p w14:paraId="69F6D38C" w14:textId="019194FE"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8664EE">
              <w:rPr>
                <w:rFonts w:ascii="Arial" w:eastAsia="Times New Roman" w:hAnsi="Arial" w:cs="Arial"/>
                <w:kern w:val="0"/>
                <w:sz w:val="18"/>
                <w:szCs w:val="18"/>
                <w14:ligatures w14:val="none"/>
              </w:rPr>
              <w:t>Sample 1</w:t>
            </w:r>
          </w:p>
        </w:tc>
        <w:tc>
          <w:tcPr>
            <w:tcW w:w="1069" w:type="dxa"/>
          </w:tcPr>
          <w:p w14:paraId="4D302F03" w14:textId="51A950F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5F484A">
              <w:rPr>
                <w:rFonts w:ascii="Arial" w:eastAsia="Times New Roman" w:hAnsi="Arial" w:cs="Arial"/>
                <w:kern w:val="0"/>
                <w:sz w:val="18"/>
                <w:szCs w:val="18"/>
                <w14:ligatures w14:val="none"/>
              </w:rPr>
              <w:t>Sample 2</w:t>
            </w:r>
          </w:p>
        </w:tc>
        <w:tc>
          <w:tcPr>
            <w:tcW w:w="1069" w:type="dxa"/>
          </w:tcPr>
          <w:p w14:paraId="4C88548A" w14:textId="292D9BE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F37890">
              <w:rPr>
                <w:rFonts w:ascii="Arial" w:eastAsia="Times New Roman" w:hAnsi="Arial" w:cs="Arial"/>
                <w:kern w:val="0"/>
                <w:sz w:val="18"/>
                <w:szCs w:val="18"/>
                <w14:ligatures w14:val="none"/>
              </w:rPr>
              <w:t>Sample 3</w:t>
            </w:r>
          </w:p>
        </w:tc>
        <w:tc>
          <w:tcPr>
            <w:tcW w:w="1069" w:type="dxa"/>
          </w:tcPr>
          <w:p w14:paraId="252012CB" w14:textId="696A39D5"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B65F46">
              <w:rPr>
                <w:rFonts w:ascii="Arial" w:eastAsia="Times New Roman" w:hAnsi="Arial" w:cs="Arial"/>
                <w:kern w:val="0"/>
                <w:sz w:val="18"/>
                <w:szCs w:val="18"/>
                <w14:ligatures w14:val="none"/>
              </w:rPr>
              <w:t>Sample 4</w:t>
            </w:r>
          </w:p>
        </w:tc>
        <w:tc>
          <w:tcPr>
            <w:tcW w:w="1069" w:type="dxa"/>
          </w:tcPr>
          <w:p w14:paraId="5A7DB55C" w14:textId="108FB638"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A165CF">
              <w:rPr>
                <w:rFonts w:ascii="Arial" w:eastAsia="Times New Roman" w:hAnsi="Arial" w:cs="Arial"/>
                <w:kern w:val="0"/>
                <w:sz w:val="18"/>
                <w:szCs w:val="18"/>
                <w14:ligatures w14:val="none"/>
              </w:rPr>
              <w:t>Sample 5</w:t>
            </w:r>
          </w:p>
        </w:tc>
        <w:tc>
          <w:tcPr>
            <w:tcW w:w="1070" w:type="dxa"/>
          </w:tcPr>
          <w:p w14:paraId="23A36C6E" w14:textId="24A151CF"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2802CA">
              <w:rPr>
                <w:rFonts w:ascii="Arial" w:eastAsia="Times New Roman" w:hAnsi="Arial" w:cs="Arial"/>
                <w:kern w:val="0"/>
                <w:sz w:val="18"/>
                <w:szCs w:val="18"/>
                <w14:ligatures w14:val="none"/>
              </w:rPr>
              <w:t>Sample 6</w:t>
            </w:r>
          </w:p>
        </w:tc>
        <w:tc>
          <w:tcPr>
            <w:tcW w:w="485" w:type="dxa"/>
          </w:tcPr>
          <w:p w14:paraId="4F8381EA" w14:textId="7777777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031BD291" w14:textId="7777777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5D69AF02" w14:textId="7777777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3A6BD19F" w14:textId="7777777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55558ED6" w14:textId="77777777" w:rsidR="00066C37" w:rsidRDefault="00066C37" w:rsidP="00066C37">
            <w:pPr>
              <w:spacing w:before="100" w:beforeAutospacing="1" w:after="100" w:afterAutospacing="1"/>
              <w:rPr>
                <w:rFonts w:ascii="Arial" w:eastAsia="Times New Roman" w:hAnsi="Arial" w:cs="Arial"/>
                <w:kern w:val="0"/>
                <w14:ligatures w14:val="none"/>
              </w:rPr>
            </w:pPr>
          </w:p>
        </w:tc>
      </w:tr>
      <w:tr w:rsidR="00066C37" w14:paraId="5BAEC095" w14:textId="77777777" w:rsidTr="00066C37">
        <w:trPr>
          <w:jc w:val="center"/>
        </w:trPr>
        <w:tc>
          <w:tcPr>
            <w:tcW w:w="510" w:type="dxa"/>
          </w:tcPr>
          <w:p w14:paraId="27BC7C1A" w14:textId="0268004D" w:rsidR="00066C37" w:rsidRDefault="00066C37" w:rsidP="00066C37">
            <w:pPr>
              <w:spacing w:before="100" w:beforeAutospacing="1" w:after="100" w:afterAutospacing="1"/>
              <w:rPr>
                <w:rFonts w:ascii="Arial" w:eastAsia="Times New Roman" w:hAnsi="Arial" w:cs="Arial"/>
                <w:kern w:val="0"/>
                <w14:ligatures w14:val="none"/>
              </w:rPr>
            </w:pPr>
            <w:r>
              <w:rPr>
                <w:rFonts w:ascii="Arial" w:eastAsia="Times New Roman" w:hAnsi="Arial" w:cs="Arial"/>
                <w:kern w:val="0"/>
                <w14:ligatures w14:val="none"/>
              </w:rPr>
              <w:t>E</w:t>
            </w:r>
          </w:p>
        </w:tc>
        <w:tc>
          <w:tcPr>
            <w:tcW w:w="1069" w:type="dxa"/>
          </w:tcPr>
          <w:p w14:paraId="5B4A70D6" w14:textId="252978ED"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8664EE">
              <w:rPr>
                <w:rFonts w:ascii="Arial" w:eastAsia="Times New Roman" w:hAnsi="Arial" w:cs="Arial"/>
                <w:kern w:val="0"/>
                <w:sz w:val="18"/>
                <w:szCs w:val="18"/>
                <w14:ligatures w14:val="none"/>
              </w:rPr>
              <w:t>Sample 1</w:t>
            </w:r>
          </w:p>
        </w:tc>
        <w:tc>
          <w:tcPr>
            <w:tcW w:w="1069" w:type="dxa"/>
          </w:tcPr>
          <w:p w14:paraId="42E5B0F4" w14:textId="345525F3"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5F484A">
              <w:rPr>
                <w:rFonts w:ascii="Arial" w:eastAsia="Times New Roman" w:hAnsi="Arial" w:cs="Arial"/>
                <w:kern w:val="0"/>
                <w:sz w:val="18"/>
                <w:szCs w:val="18"/>
                <w14:ligatures w14:val="none"/>
              </w:rPr>
              <w:t>Sample 2</w:t>
            </w:r>
          </w:p>
        </w:tc>
        <w:tc>
          <w:tcPr>
            <w:tcW w:w="1069" w:type="dxa"/>
          </w:tcPr>
          <w:p w14:paraId="00C260C7" w14:textId="293675D8"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F37890">
              <w:rPr>
                <w:rFonts w:ascii="Arial" w:eastAsia="Times New Roman" w:hAnsi="Arial" w:cs="Arial"/>
                <w:kern w:val="0"/>
                <w:sz w:val="18"/>
                <w:szCs w:val="18"/>
                <w14:ligatures w14:val="none"/>
              </w:rPr>
              <w:t>Sample 3</w:t>
            </w:r>
          </w:p>
        </w:tc>
        <w:tc>
          <w:tcPr>
            <w:tcW w:w="1069" w:type="dxa"/>
          </w:tcPr>
          <w:p w14:paraId="3C07677E" w14:textId="5AA1BF05"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B65F46">
              <w:rPr>
                <w:rFonts w:ascii="Arial" w:eastAsia="Times New Roman" w:hAnsi="Arial" w:cs="Arial"/>
                <w:kern w:val="0"/>
                <w:sz w:val="18"/>
                <w:szCs w:val="18"/>
                <w14:ligatures w14:val="none"/>
              </w:rPr>
              <w:t>Sample 4</w:t>
            </w:r>
          </w:p>
        </w:tc>
        <w:tc>
          <w:tcPr>
            <w:tcW w:w="1069" w:type="dxa"/>
          </w:tcPr>
          <w:p w14:paraId="031A2545" w14:textId="7953955C"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A165CF">
              <w:rPr>
                <w:rFonts w:ascii="Arial" w:eastAsia="Times New Roman" w:hAnsi="Arial" w:cs="Arial"/>
                <w:kern w:val="0"/>
                <w:sz w:val="18"/>
                <w:szCs w:val="18"/>
                <w14:ligatures w14:val="none"/>
              </w:rPr>
              <w:t>Sample 5</w:t>
            </w:r>
          </w:p>
        </w:tc>
        <w:tc>
          <w:tcPr>
            <w:tcW w:w="1070" w:type="dxa"/>
          </w:tcPr>
          <w:p w14:paraId="1D147480" w14:textId="5BCC2B4B"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2802CA">
              <w:rPr>
                <w:rFonts w:ascii="Arial" w:eastAsia="Times New Roman" w:hAnsi="Arial" w:cs="Arial"/>
                <w:kern w:val="0"/>
                <w:sz w:val="18"/>
                <w:szCs w:val="18"/>
                <w14:ligatures w14:val="none"/>
              </w:rPr>
              <w:t>Sample 6</w:t>
            </w:r>
          </w:p>
        </w:tc>
        <w:tc>
          <w:tcPr>
            <w:tcW w:w="485" w:type="dxa"/>
          </w:tcPr>
          <w:p w14:paraId="34C62154" w14:textId="7777777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2FF9614B" w14:textId="7777777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0D16428E" w14:textId="7777777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2A03FFEE" w14:textId="7777777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767E05BB" w14:textId="77777777" w:rsidR="00066C37" w:rsidRDefault="00066C37" w:rsidP="00066C37">
            <w:pPr>
              <w:spacing w:before="100" w:beforeAutospacing="1" w:after="100" w:afterAutospacing="1"/>
              <w:rPr>
                <w:rFonts w:ascii="Arial" w:eastAsia="Times New Roman" w:hAnsi="Arial" w:cs="Arial"/>
                <w:kern w:val="0"/>
                <w14:ligatures w14:val="none"/>
              </w:rPr>
            </w:pPr>
          </w:p>
        </w:tc>
      </w:tr>
      <w:tr w:rsidR="00066C37" w14:paraId="3D8DD6EC" w14:textId="77777777" w:rsidTr="00066C37">
        <w:trPr>
          <w:jc w:val="center"/>
        </w:trPr>
        <w:tc>
          <w:tcPr>
            <w:tcW w:w="510" w:type="dxa"/>
          </w:tcPr>
          <w:p w14:paraId="47B7E7BB" w14:textId="6AE03DBF" w:rsidR="00066C37" w:rsidRDefault="00066C37" w:rsidP="00066C37">
            <w:pPr>
              <w:spacing w:before="100" w:beforeAutospacing="1" w:after="100" w:afterAutospacing="1"/>
              <w:rPr>
                <w:rFonts w:ascii="Arial" w:eastAsia="Times New Roman" w:hAnsi="Arial" w:cs="Arial"/>
                <w:kern w:val="0"/>
                <w14:ligatures w14:val="none"/>
              </w:rPr>
            </w:pPr>
            <w:r>
              <w:rPr>
                <w:rFonts w:ascii="Arial" w:eastAsia="Times New Roman" w:hAnsi="Arial" w:cs="Arial"/>
                <w:kern w:val="0"/>
                <w14:ligatures w14:val="none"/>
              </w:rPr>
              <w:t>F</w:t>
            </w:r>
          </w:p>
        </w:tc>
        <w:tc>
          <w:tcPr>
            <w:tcW w:w="1069" w:type="dxa"/>
          </w:tcPr>
          <w:p w14:paraId="5A1076ED" w14:textId="7C982B4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8664EE">
              <w:rPr>
                <w:rFonts w:ascii="Arial" w:eastAsia="Times New Roman" w:hAnsi="Arial" w:cs="Arial"/>
                <w:kern w:val="0"/>
                <w:sz w:val="18"/>
                <w:szCs w:val="18"/>
                <w14:ligatures w14:val="none"/>
              </w:rPr>
              <w:t>Sample 1</w:t>
            </w:r>
          </w:p>
        </w:tc>
        <w:tc>
          <w:tcPr>
            <w:tcW w:w="1069" w:type="dxa"/>
          </w:tcPr>
          <w:p w14:paraId="5A1EF276" w14:textId="580C6AA9"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5F484A">
              <w:rPr>
                <w:rFonts w:ascii="Arial" w:eastAsia="Times New Roman" w:hAnsi="Arial" w:cs="Arial"/>
                <w:kern w:val="0"/>
                <w:sz w:val="18"/>
                <w:szCs w:val="18"/>
                <w14:ligatures w14:val="none"/>
              </w:rPr>
              <w:t>Sample 2</w:t>
            </w:r>
          </w:p>
        </w:tc>
        <w:tc>
          <w:tcPr>
            <w:tcW w:w="1069" w:type="dxa"/>
          </w:tcPr>
          <w:p w14:paraId="70488D01" w14:textId="09E2356E"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F37890">
              <w:rPr>
                <w:rFonts w:ascii="Arial" w:eastAsia="Times New Roman" w:hAnsi="Arial" w:cs="Arial"/>
                <w:kern w:val="0"/>
                <w:sz w:val="18"/>
                <w:szCs w:val="18"/>
                <w14:ligatures w14:val="none"/>
              </w:rPr>
              <w:t>Sample 3</w:t>
            </w:r>
          </w:p>
        </w:tc>
        <w:tc>
          <w:tcPr>
            <w:tcW w:w="1069" w:type="dxa"/>
          </w:tcPr>
          <w:p w14:paraId="2A564E09" w14:textId="076FAEFA"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B65F46">
              <w:rPr>
                <w:rFonts w:ascii="Arial" w:eastAsia="Times New Roman" w:hAnsi="Arial" w:cs="Arial"/>
                <w:kern w:val="0"/>
                <w:sz w:val="18"/>
                <w:szCs w:val="18"/>
                <w14:ligatures w14:val="none"/>
              </w:rPr>
              <w:t>Sample 4</w:t>
            </w:r>
          </w:p>
        </w:tc>
        <w:tc>
          <w:tcPr>
            <w:tcW w:w="1069" w:type="dxa"/>
          </w:tcPr>
          <w:p w14:paraId="4BFC6DAF" w14:textId="10A18A83"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A165CF">
              <w:rPr>
                <w:rFonts w:ascii="Arial" w:eastAsia="Times New Roman" w:hAnsi="Arial" w:cs="Arial"/>
                <w:kern w:val="0"/>
                <w:sz w:val="18"/>
                <w:szCs w:val="18"/>
                <w14:ligatures w14:val="none"/>
              </w:rPr>
              <w:t>Sample 5</w:t>
            </w:r>
          </w:p>
        </w:tc>
        <w:tc>
          <w:tcPr>
            <w:tcW w:w="1070" w:type="dxa"/>
          </w:tcPr>
          <w:p w14:paraId="2E08B82E" w14:textId="42A5C5D2"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2802CA">
              <w:rPr>
                <w:rFonts w:ascii="Arial" w:eastAsia="Times New Roman" w:hAnsi="Arial" w:cs="Arial"/>
                <w:kern w:val="0"/>
                <w:sz w:val="18"/>
                <w:szCs w:val="18"/>
                <w14:ligatures w14:val="none"/>
              </w:rPr>
              <w:t>Sample 6</w:t>
            </w:r>
          </w:p>
        </w:tc>
        <w:tc>
          <w:tcPr>
            <w:tcW w:w="485" w:type="dxa"/>
          </w:tcPr>
          <w:p w14:paraId="1F8E7BE1" w14:textId="7777777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38331EEF" w14:textId="7777777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1C369982" w14:textId="7777777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75ABCC2B" w14:textId="7777777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5AC47373" w14:textId="77777777" w:rsidR="00066C37" w:rsidRDefault="00066C37" w:rsidP="00066C37">
            <w:pPr>
              <w:spacing w:before="100" w:beforeAutospacing="1" w:after="100" w:afterAutospacing="1"/>
              <w:rPr>
                <w:rFonts w:ascii="Arial" w:eastAsia="Times New Roman" w:hAnsi="Arial" w:cs="Arial"/>
                <w:kern w:val="0"/>
                <w14:ligatures w14:val="none"/>
              </w:rPr>
            </w:pPr>
          </w:p>
        </w:tc>
      </w:tr>
      <w:tr w:rsidR="00066C37" w14:paraId="5A1BC451" w14:textId="77777777" w:rsidTr="00066C37">
        <w:trPr>
          <w:jc w:val="center"/>
        </w:trPr>
        <w:tc>
          <w:tcPr>
            <w:tcW w:w="510" w:type="dxa"/>
          </w:tcPr>
          <w:p w14:paraId="780CDF99" w14:textId="37ADB5EF" w:rsidR="00066C37" w:rsidRDefault="00066C37" w:rsidP="00066C37">
            <w:pPr>
              <w:spacing w:before="100" w:beforeAutospacing="1" w:after="100" w:afterAutospacing="1"/>
              <w:rPr>
                <w:rFonts w:ascii="Arial" w:eastAsia="Times New Roman" w:hAnsi="Arial" w:cs="Arial"/>
                <w:kern w:val="0"/>
                <w14:ligatures w14:val="none"/>
              </w:rPr>
            </w:pPr>
            <w:r>
              <w:rPr>
                <w:rFonts w:ascii="Arial" w:eastAsia="Times New Roman" w:hAnsi="Arial" w:cs="Arial"/>
                <w:kern w:val="0"/>
                <w14:ligatures w14:val="none"/>
              </w:rPr>
              <w:t>G</w:t>
            </w:r>
          </w:p>
        </w:tc>
        <w:tc>
          <w:tcPr>
            <w:tcW w:w="1069" w:type="dxa"/>
          </w:tcPr>
          <w:p w14:paraId="129B0C5A" w14:textId="362E1735"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8664EE">
              <w:rPr>
                <w:rFonts w:ascii="Arial" w:eastAsia="Times New Roman" w:hAnsi="Arial" w:cs="Arial"/>
                <w:kern w:val="0"/>
                <w:sz w:val="18"/>
                <w:szCs w:val="18"/>
                <w14:ligatures w14:val="none"/>
              </w:rPr>
              <w:t>Sample 1</w:t>
            </w:r>
          </w:p>
        </w:tc>
        <w:tc>
          <w:tcPr>
            <w:tcW w:w="1069" w:type="dxa"/>
          </w:tcPr>
          <w:p w14:paraId="057AF4E7" w14:textId="03A66DDA"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5F484A">
              <w:rPr>
                <w:rFonts w:ascii="Arial" w:eastAsia="Times New Roman" w:hAnsi="Arial" w:cs="Arial"/>
                <w:kern w:val="0"/>
                <w:sz w:val="18"/>
                <w:szCs w:val="18"/>
                <w14:ligatures w14:val="none"/>
              </w:rPr>
              <w:t>Sample 2</w:t>
            </w:r>
          </w:p>
        </w:tc>
        <w:tc>
          <w:tcPr>
            <w:tcW w:w="1069" w:type="dxa"/>
          </w:tcPr>
          <w:p w14:paraId="5911FB3D" w14:textId="18404C6E"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F37890">
              <w:rPr>
                <w:rFonts w:ascii="Arial" w:eastAsia="Times New Roman" w:hAnsi="Arial" w:cs="Arial"/>
                <w:kern w:val="0"/>
                <w:sz w:val="18"/>
                <w:szCs w:val="18"/>
                <w14:ligatures w14:val="none"/>
              </w:rPr>
              <w:t>Sample 3</w:t>
            </w:r>
          </w:p>
        </w:tc>
        <w:tc>
          <w:tcPr>
            <w:tcW w:w="1069" w:type="dxa"/>
          </w:tcPr>
          <w:p w14:paraId="21E02B47" w14:textId="08041432"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B65F46">
              <w:rPr>
                <w:rFonts w:ascii="Arial" w:eastAsia="Times New Roman" w:hAnsi="Arial" w:cs="Arial"/>
                <w:kern w:val="0"/>
                <w:sz w:val="18"/>
                <w:szCs w:val="18"/>
                <w14:ligatures w14:val="none"/>
              </w:rPr>
              <w:t>Sample 4</w:t>
            </w:r>
          </w:p>
        </w:tc>
        <w:tc>
          <w:tcPr>
            <w:tcW w:w="1069" w:type="dxa"/>
          </w:tcPr>
          <w:p w14:paraId="2FE90DA6" w14:textId="0C4E5FE4"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A165CF">
              <w:rPr>
                <w:rFonts w:ascii="Arial" w:eastAsia="Times New Roman" w:hAnsi="Arial" w:cs="Arial"/>
                <w:kern w:val="0"/>
                <w:sz w:val="18"/>
                <w:szCs w:val="18"/>
                <w14:ligatures w14:val="none"/>
              </w:rPr>
              <w:t>Sample 5</w:t>
            </w:r>
          </w:p>
        </w:tc>
        <w:tc>
          <w:tcPr>
            <w:tcW w:w="1070" w:type="dxa"/>
          </w:tcPr>
          <w:p w14:paraId="1ABD5E64" w14:textId="6CA2E081"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r w:rsidRPr="002802CA">
              <w:rPr>
                <w:rFonts w:ascii="Arial" w:eastAsia="Times New Roman" w:hAnsi="Arial" w:cs="Arial"/>
                <w:kern w:val="0"/>
                <w:sz w:val="18"/>
                <w:szCs w:val="18"/>
                <w14:ligatures w14:val="none"/>
              </w:rPr>
              <w:t>Sample 6</w:t>
            </w:r>
          </w:p>
        </w:tc>
        <w:tc>
          <w:tcPr>
            <w:tcW w:w="485" w:type="dxa"/>
          </w:tcPr>
          <w:p w14:paraId="6DDAE7EF" w14:textId="7777777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0200B237" w14:textId="7777777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6FC19B27" w14:textId="7777777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716A29B1" w14:textId="77777777" w:rsidR="00066C37" w:rsidRPr="00D64845" w:rsidRDefault="00066C37" w:rsidP="00066C37">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10CE6C41" w14:textId="77777777" w:rsidR="00066C37" w:rsidRDefault="00066C37" w:rsidP="00066C37">
            <w:pPr>
              <w:spacing w:before="100" w:beforeAutospacing="1" w:after="100" w:afterAutospacing="1"/>
              <w:rPr>
                <w:rFonts w:ascii="Arial" w:eastAsia="Times New Roman" w:hAnsi="Arial" w:cs="Arial"/>
                <w:kern w:val="0"/>
                <w14:ligatures w14:val="none"/>
              </w:rPr>
            </w:pPr>
          </w:p>
        </w:tc>
      </w:tr>
      <w:tr w:rsidR="00066C37" w14:paraId="5F547B48" w14:textId="77777777" w:rsidTr="00066C37">
        <w:trPr>
          <w:jc w:val="center"/>
        </w:trPr>
        <w:tc>
          <w:tcPr>
            <w:tcW w:w="510" w:type="dxa"/>
          </w:tcPr>
          <w:p w14:paraId="7018A148" w14:textId="1E2971CF" w:rsidR="00066C37" w:rsidRDefault="00066C37" w:rsidP="00066C37">
            <w:pPr>
              <w:spacing w:before="100" w:beforeAutospacing="1" w:after="100" w:afterAutospacing="1"/>
              <w:rPr>
                <w:rFonts w:ascii="Arial" w:eastAsia="Times New Roman" w:hAnsi="Arial" w:cs="Arial"/>
                <w:kern w:val="0"/>
                <w14:ligatures w14:val="none"/>
              </w:rPr>
            </w:pPr>
            <w:r>
              <w:rPr>
                <w:rFonts w:ascii="Arial" w:eastAsia="Times New Roman" w:hAnsi="Arial" w:cs="Arial"/>
                <w:kern w:val="0"/>
                <w14:ligatures w14:val="none"/>
              </w:rPr>
              <w:t>H</w:t>
            </w:r>
          </w:p>
        </w:tc>
        <w:tc>
          <w:tcPr>
            <w:tcW w:w="1069" w:type="dxa"/>
          </w:tcPr>
          <w:p w14:paraId="60C4C955" w14:textId="20EAF07D" w:rsidR="00066C37" w:rsidRDefault="00066C37" w:rsidP="00066C37">
            <w:pPr>
              <w:spacing w:before="100" w:beforeAutospacing="1" w:after="100" w:afterAutospacing="1"/>
              <w:jc w:val="center"/>
              <w:rPr>
                <w:rFonts w:ascii="Arial" w:eastAsia="Times New Roman" w:hAnsi="Arial" w:cs="Arial"/>
                <w:kern w:val="0"/>
                <w14:ligatures w14:val="none"/>
              </w:rPr>
            </w:pPr>
          </w:p>
        </w:tc>
        <w:tc>
          <w:tcPr>
            <w:tcW w:w="1069" w:type="dxa"/>
          </w:tcPr>
          <w:p w14:paraId="764734EF" w14:textId="61359C94" w:rsidR="00066C37" w:rsidRDefault="00066C37" w:rsidP="00066C37">
            <w:pPr>
              <w:spacing w:before="100" w:beforeAutospacing="1" w:after="100" w:afterAutospacing="1"/>
              <w:jc w:val="center"/>
              <w:rPr>
                <w:rFonts w:ascii="Arial" w:eastAsia="Times New Roman" w:hAnsi="Arial" w:cs="Arial"/>
                <w:kern w:val="0"/>
                <w14:ligatures w14:val="none"/>
              </w:rPr>
            </w:pPr>
          </w:p>
        </w:tc>
        <w:tc>
          <w:tcPr>
            <w:tcW w:w="1069" w:type="dxa"/>
          </w:tcPr>
          <w:p w14:paraId="24C6A90A" w14:textId="77777777" w:rsidR="00066C37" w:rsidRDefault="00066C37" w:rsidP="00066C37">
            <w:pPr>
              <w:spacing w:before="100" w:beforeAutospacing="1" w:after="100" w:afterAutospacing="1"/>
              <w:jc w:val="center"/>
              <w:rPr>
                <w:rFonts w:ascii="Arial" w:eastAsia="Times New Roman" w:hAnsi="Arial" w:cs="Arial"/>
                <w:kern w:val="0"/>
                <w14:ligatures w14:val="none"/>
              </w:rPr>
            </w:pPr>
          </w:p>
        </w:tc>
        <w:tc>
          <w:tcPr>
            <w:tcW w:w="1069" w:type="dxa"/>
          </w:tcPr>
          <w:p w14:paraId="744FB3FB" w14:textId="77777777" w:rsidR="00066C37" w:rsidRDefault="00066C37" w:rsidP="00066C37">
            <w:pPr>
              <w:spacing w:before="100" w:beforeAutospacing="1" w:after="100" w:afterAutospacing="1"/>
              <w:jc w:val="center"/>
              <w:rPr>
                <w:rFonts w:ascii="Arial" w:eastAsia="Times New Roman" w:hAnsi="Arial" w:cs="Arial"/>
                <w:kern w:val="0"/>
                <w14:ligatures w14:val="none"/>
              </w:rPr>
            </w:pPr>
          </w:p>
        </w:tc>
        <w:tc>
          <w:tcPr>
            <w:tcW w:w="1069" w:type="dxa"/>
          </w:tcPr>
          <w:p w14:paraId="30B88BBC" w14:textId="77777777" w:rsidR="00066C37" w:rsidRDefault="00066C37" w:rsidP="00066C37">
            <w:pPr>
              <w:spacing w:before="100" w:beforeAutospacing="1" w:after="100" w:afterAutospacing="1"/>
              <w:jc w:val="center"/>
              <w:rPr>
                <w:rFonts w:ascii="Arial" w:eastAsia="Times New Roman" w:hAnsi="Arial" w:cs="Arial"/>
                <w:kern w:val="0"/>
                <w14:ligatures w14:val="none"/>
              </w:rPr>
            </w:pPr>
          </w:p>
        </w:tc>
        <w:tc>
          <w:tcPr>
            <w:tcW w:w="1070" w:type="dxa"/>
          </w:tcPr>
          <w:p w14:paraId="32D58656" w14:textId="77777777" w:rsidR="00066C37" w:rsidRDefault="00066C37" w:rsidP="00066C37">
            <w:pPr>
              <w:spacing w:before="100" w:beforeAutospacing="1" w:after="100" w:afterAutospacing="1"/>
              <w:jc w:val="center"/>
              <w:rPr>
                <w:rFonts w:ascii="Arial" w:eastAsia="Times New Roman" w:hAnsi="Arial" w:cs="Arial"/>
                <w:kern w:val="0"/>
                <w14:ligatures w14:val="none"/>
              </w:rPr>
            </w:pPr>
          </w:p>
        </w:tc>
        <w:tc>
          <w:tcPr>
            <w:tcW w:w="485" w:type="dxa"/>
          </w:tcPr>
          <w:p w14:paraId="448F5F51" w14:textId="77777777" w:rsidR="00066C37" w:rsidRDefault="00066C37" w:rsidP="00066C37">
            <w:pPr>
              <w:spacing w:before="100" w:beforeAutospacing="1" w:after="100" w:afterAutospacing="1"/>
              <w:jc w:val="center"/>
              <w:rPr>
                <w:rFonts w:ascii="Arial" w:eastAsia="Times New Roman" w:hAnsi="Arial" w:cs="Arial"/>
                <w:kern w:val="0"/>
                <w14:ligatures w14:val="none"/>
              </w:rPr>
            </w:pPr>
          </w:p>
        </w:tc>
        <w:tc>
          <w:tcPr>
            <w:tcW w:w="485" w:type="dxa"/>
          </w:tcPr>
          <w:p w14:paraId="4B488A9B" w14:textId="77777777" w:rsidR="00066C37" w:rsidRDefault="00066C37" w:rsidP="00066C37">
            <w:pPr>
              <w:spacing w:before="100" w:beforeAutospacing="1" w:after="100" w:afterAutospacing="1"/>
              <w:jc w:val="center"/>
              <w:rPr>
                <w:rFonts w:ascii="Arial" w:eastAsia="Times New Roman" w:hAnsi="Arial" w:cs="Arial"/>
                <w:kern w:val="0"/>
                <w14:ligatures w14:val="none"/>
              </w:rPr>
            </w:pPr>
          </w:p>
        </w:tc>
        <w:tc>
          <w:tcPr>
            <w:tcW w:w="485" w:type="dxa"/>
          </w:tcPr>
          <w:p w14:paraId="38FA3087" w14:textId="77777777" w:rsidR="00066C37" w:rsidRDefault="00066C37" w:rsidP="00066C37">
            <w:pPr>
              <w:spacing w:before="100" w:beforeAutospacing="1" w:after="100" w:afterAutospacing="1"/>
              <w:jc w:val="center"/>
              <w:rPr>
                <w:rFonts w:ascii="Arial" w:eastAsia="Times New Roman" w:hAnsi="Arial" w:cs="Arial"/>
                <w:kern w:val="0"/>
                <w14:ligatures w14:val="none"/>
              </w:rPr>
            </w:pPr>
          </w:p>
        </w:tc>
        <w:tc>
          <w:tcPr>
            <w:tcW w:w="485" w:type="dxa"/>
          </w:tcPr>
          <w:p w14:paraId="71248B2C" w14:textId="77777777" w:rsidR="00066C37" w:rsidRDefault="00066C37" w:rsidP="00066C37">
            <w:pPr>
              <w:spacing w:before="100" w:beforeAutospacing="1" w:after="100" w:afterAutospacing="1"/>
              <w:jc w:val="center"/>
              <w:rPr>
                <w:rFonts w:ascii="Arial" w:eastAsia="Times New Roman" w:hAnsi="Arial" w:cs="Arial"/>
                <w:kern w:val="0"/>
                <w14:ligatures w14:val="none"/>
              </w:rPr>
            </w:pPr>
          </w:p>
        </w:tc>
        <w:tc>
          <w:tcPr>
            <w:tcW w:w="485" w:type="dxa"/>
          </w:tcPr>
          <w:p w14:paraId="21FC18EA" w14:textId="77777777" w:rsidR="00066C37" w:rsidRDefault="00066C37" w:rsidP="00066C37">
            <w:pPr>
              <w:spacing w:before="100" w:beforeAutospacing="1" w:after="100" w:afterAutospacing="1"/>
              <w:rPr>
                <w:rFonts w:ascii="Arial" w:eastAsia="Times New Roman" w:hAnsi="Arial" w:cs="Arial"/>
                <w:kern w:val="0"/>
                <w14:ligatures w14:val="none"/>
              </w:rPr>
            </w:pPr>
          </w:p>
        </w:tc>
      </w:tr>
    </w:tbl>
    <w:p w14:paraId="5D16C3BA" w14:textId="4174FCAD" w:rsidR="00D64845" w:rsidRPr="00066C37" w:rsidRDefault="00066C37" w:rsidP="00D64845">
      <w:pPr>
        <w:spacing w:before="100" w:beforeAutospacing="1" w:after="100" w:afterAutospacing="1"/>
        <w:rPr>
          <w:rFonts w:ascii="Arial" w:eastAsia="Times New Roman" w:hAnsi="Arial" w:cs="Arial"/>
          <w:b/>
          <w:bCs/>
          <w:kern w:val="0"/>
          <w14:ligatures w14:val="none"/>
        </w:rPr>
      </w:pPr>
      <w:r w:rsidRPr="00066C37">
        <w:rPr>
          <w:rFonts w:ascii="Arial" w:eastAsia="Times New Roman" w:hAnsi="Arial" w:cs="Arial"/>
          <w:b/>
          <w:bCs/>
          <w:kern w:val="0"/>
          <w14:ligatures w14:val="none"/>
        </w:rPr>
        <w:t>Sample list</w:t>
      </w:r>
    </w:p>
    <w:p w14:paraId="149BDCA9" w14:textId="7D901DBF" w:rsidR="00066C37" w:rsidRPr="00066C37" w:rsidRDefault="00066C37" w:rsidP="00066C37">
      <w:pPr>
        <w:pStyle w:val="ListParagraph"/>
        <w:numPr>
          <w:ilvl w:val="0"/>
          <w:numId w:val="12"/>
        </w:numPr>
        <w:spacing w:before="100" w:beforeAutospacing="1" w:after="100" w:afterAutospacing="1"/>
        <w:rPr>
          <w:rFonts w:ascii="Arial" w:eastAsia="Times New Roman" w:hAnsi="Arial" w:cs="Arial"/>
          <w:kern w:val="0"/>
          <w14:ligatures w14:val="none"/>
        </w:rPr>
      </w:pPr>
      <w:r w:rsidRPr="00066C37">
        <w:rPr>
          <w:rFonts w:ascii="Arial" w:eastAsia="Times New Roman" w:hAnsi="Arial" w:cs="Arial"/>
          <w:kern w:val="0"/>
          <w14:ligatures w14:val="none"/>
        </w:rPr>
        <w:t>DM</w:t>
      </w:r>
      <w:r>
        <w:rPr>
          <w:rFonts w:ascii="Arial" w:eastAsia="Times New Roman" w:hAnsi="Arial" w:cs="Arial"/>
          <w:kern w:val="0"/>
          <w14:ligatures w14:val="none"/>
        </w:rPr>
        <w:t>E</w:t>
      </w:r>
      <w:r w:rsidRPr="00066C37">
        <w:rPr>
          <w:rFonts w:ascii="Arial" w:eastAsia="Times New Roman" w:hAnsi="Arial" w:cs="Arial"/>
          <w:kern w:val="0"/>
          <w14:ligatures w14:val="none"/>
        </w:rPr>
        <w:t>M blank without cells or protein aggregate</w:t>
      </w:r>
    </w:p>
    <w:p w14:paraId="5F57B8AF" w14:textId="77777777" w:rsidR="00066C37" w:rsidRDefault="00066C37" w:rsidP="00066C37">
      <w:pPr>
        <w:pStyle w:val="ListParagraph"/>
        <w:numPr>
          <w:ilvl w:val="0"/>
          <w:numId w:val="12"/>
        </w:numPr>
        <w:spacing w:before="100" w:beforeAutospacing="1" w:after="100" w:afterAutospacing="1"/>
        <w:rPr>
          <w:rFonts w:ascii="Arial" w:eastAsia="Times New Roman" w:hAnsi="Arial" w:cs="Arial"/>
          <w:kern w:val="0"/>
          <w14:ligatures w14:val="none"/>
        </w:rPr>
      </w:pPr>
      <w:r>
        <w:rPr>
          <w:rFonts w:ascii="Arial" w:eastAsia="Times New Roman" w:hAnsi="Arial" w:cs="Arial"/>
          <w:kern w:val="0"/>
          <w14:ligatures w14:val="none"/>
        </w:rPr>
        <w:t>SH-SY5Y control cells without protein aggregate</w:t>
      </w:r>
    </w:p>
    <w:p w14:paraId="4AF07465" w14:textId="13F42390" w:rsidR="00066C37" w:rsidRDefault="00066C37" w:rsidP="00066C37">
      <w:pPr>
        <w:pStyle w:val="ListParagraph"/>
        <w:numPr>
          <w:ilvl w:val="0"/>
          <w:numId w:val="12"/>
        </w:numPr>
        <w:spacing w:before="100" w:beforeAutospacing="1" w:after="100" w:afterAutospacing="1"/>
        <w:rPr>
          <w:rFonts w:ascii="Arial" w:eastAsia="Times New Roman" w:hAnsi="Arial" w:cs="Arial"/>
          <w:kern w:val="0"/>
          <w14:ligatures w14:val="none"/>
        </w:rPr>
      </w:pPr>
      <w:r w:rsidRPr="00066C37">
        <w:rPr>
          <w:rFonts w:ascii="Arial" w:eastAsia="Times New Roman" w:hAnsi="Arial" w:cs="Arial"/>
          <w:kern w:val="0"/>
          <w14:ligatures w14:val="none"/>
        </w:rPr>
        <w:t xml:space="preserve">SH-SY5Y cells </w:t>
      </w:r>
      <w:r>
        <w:rPr>
          <w:rFonts w:ascii="Arial" w:eastAsia="Times New Roman" w:hAnsi="Arial" w:cs="Arial"/>
          <w:kern w:val="0"/>
          <w14:ligatures w14:val="none"/>
        </w:rPr>
        <w:t>with</w:t>
      </w:r>
      <w:r w:rsidRPr="00066C37">
        <w:rPr>
          <w:rFonts w:ascii="Arial" w:eastAsia="Times New Roman" w:hAnsi="Arial" w:cs="Arial"/>
          <w:kern w:val="0"/>
          <w14:ligatures w14:val="none"/>
        </w:rPr>
        <w:t xml:space="preserve"> high concentration</w:t>
      </w:r>
      <w:r>
        <w:rPr>
          <w:rFonts w:ascii="Arial" w:eastAsia="Times New Roman" w:hAnsi="Arial" w:cs="Arial"/>
          <w:kern w:val="0"/>
          <w14:ligatures w14:val="none"/>
        </w:rPr>
        <w:t xml:space="preserve"> of</w:t>
      </w:r>
      <w:r w:rsidRPr="00066C37">
        <w:rPr>
          <w:rFonts w:ascii="Arial" w:eastAsia="Times New Roman" w:hAnsi="Arial" w:cs="Arial"/>
          <w:kern w:val="0"/>
          <w14:ligatures w14:val="none"/>
        </w:rPr>
        <w:t xml:space="preserve"> aggregate</w:t>
      </w:r>
    </w:p>
    <w:p w14:paraId="3058477D" w14:textId="08068547" w:rsidR="00066C37" w:rsidRDefault="00066C37" w:rsidP="00066C37">
      <w:pPr>
        <w:pStyle w:val="ListParagraph"/>
        <w:numPr>
          <w:ilvl w:val="0"/>
          <w:numId w:val="12"/>
        </w:numPr>
        <w:spacing w:before="100" w:beforeAutospacing="1" w:after="100" w:afterAutospacing="1"/>
        <w:rPr>
          <w:rFonts w:ascii="Arial" w:eastAsia="Times New Roman" w:hAnsi="Arial" w:cs="Arial"/>
          <w:kern w:val="0"/>
          <w14:ligatures w14:val="none"/>
        </w:rPr>
      </w:pPr>
      <w:r w:rsidRPr="00066C37">
        <w:rPr>
          <w:rFonts w:ascii="Arial" w:eastAsia="Times New Roman" w:hAnsi="Arial" w:cs="Arial"/>
          <w:kern w:val="0"/>
          <w14:ligatures w14:val="none"/>
        </w:rPr>
        <w:t xml:space="preserve">SH-SY5Y cells </w:t>
      </w:r>
      <w:r>
        <w:rPr>
          <w:rFonts w:ascii="Arial" w:eastAsia="Times New Roman" w:hAnsi="Arial" w:cs="Arial"/>
          <w:kern w:val="0"/>
          <w14:ligatures w14:val="none"/>
        </w:rPr>
        <w:t>with</w:t>
      </w:r>
      <w:r w:rsidRPr="00066C37">
        <w:rPr>
          <w:rFonts w:ascii="Arial" w:eastAsia="Times New Roman" w:hAnsi="Arial" w:cs="Arial"/>
          <w:kern w:val="0"/>
          <w14:ligatures w14:val="none"/>
        </w:rPr>
        <w:t xml:space="preserve"> </w:t>
      </w:r>
      <w:r>
        <w:rPr>
          <w:rFonts w:ascii="Arial" w:eastAsia="Times New Roman" w:hAnsi="Arial" w:cs="Arial"/>
          <w:kern w:val="0"/>
          <w14:ligatures w14:val="none"/>
        </w:rPr>
        <w:t>medium</w:t>
      </w:r>
      <w:r w:rsidRPr="00066C37">
        <w:rPr>
          <w:rFonts w:ascii="Arial" w:eastAsia="Times New Roman" w:hAnsi="Arial" w:cs="Arial"/>
          <w:kern w:val="0"/>
          <w14:ligatures w14:val="none"/>
        </w:rPr>
        <w:t xml:space="preserve"> concentration</w:t>
      </w:r>
      <w:r>
        <w:rPr>
          <w:rFonts w:ascii="Arial" w:eastAsia="Times New Roman" w:hAnsi="Arial" w:cs="Arial"/>
          <w:kern w:val="0"/>
          <w14:ligatures w14:val="none"/>
        </w:rPr>
        <w:t xml:space="preserve"> of</w:t>
      </w:r>
      <w:r w:rsidRPr="00066C37">
        <w:rPr>
          <w:rFonts w:ascii="Arial" w:eastAsia="Times New Roman" w:hAnsi="Arial" w:cs="Arial"/>
          <w:kern w:val="0"/>
          <w14:ligatures w14:val="none"/>
        </w:rPr>
        <w:t xml:space="preserve"> aggregate</w:t>
      </w:r>
    </w:p>
    <w:p w14:paraId="7D33A8B7" w14:textId="6B197E3E" w:rsidR="00066C37" w:rsidRDefault="00066C37" w:rsidP="00066C37">
      <w:pPr>
        <w:pStyle w:val="ListParagraph"/>
        <w:numPr>
          <w:ilvl w:val="0"/>
          <w:numId w:val="12"/>
        </w:numPr>
        <w:spacing w:before="100" w:beforeAutospacing="1" w:after="100" w:afterAutospacing="1"/>
        <w:rPr>
          <w:rFonts w:ascii="Arial" w:eastAsia="Times New Roman" w:hAnsi="Arial" w:cs="Arial"/>
          <w:kern w:val="0"/>
          <w14:ligatures w14:val="none"/>
        </w:rPr>
      </w:pPr>
      <w:r w:rsidRPr="00066C37">
        <w:rPr>
          <w:rFonts w:ascii="Arial" w:eastAsia="Times New Roman" w:hAnsi="Arial" w:cs="Arial"/>
          <w:kern w:val="0"/>
          <w14:ligatures w14:val="none"/>
        </w:rPr>
        <w:t xml:space="preserve">SH-SY5Y cells </w:t>
      </w:r>
      <w:r>
        <w:rPr>
          <w:rFonts w:ascii="Arial" w:eastAsia="Times New Roman" w:hAnsi="Arial" w:cs="Arial"/>
          <w:kern w:val="0"/>
          <w14:ligatures w14:val="none"/>
        </w:rPr>
        <w:t>with</w:t>
      </w:r>
      <w:r w:rsidRPr="00066C37">
        <w:rPr>
          <w:rFonts w:ascii="Arial" w:eastAsia="Times New Roman" w:hAnsi="Arial" w:cs="Arial"/>
          <w:kern w:val="0"/>
          <w14:ligatures w14:val="none"/>
        </w:rPr>
        <w:t xml:space="preserve"> </w:t>
      </w:r>
      <w:r>
        <w:rPr>
          <w:rFonts w:ascii="Arial" w:eastAsia="Times New Roman" w:hAnsi="Arial" w:cs="Arial"/>
          <w:kern w:val="0"/>
          <w14:ligatures w14:val="none"/>
        </w:rPr>
        <w:t>low</w:t>
      </w:r>
      <w:r w:rsidRPr="00066C37">
        <w:rPr>
          <w:rFonts w:ascii="Arial" w:eastAsia="Times New Roman" w:hAnsi="Arial" w:cs="Arial"/>
          <w:kern w:val="0"/>
          <w14:ligatures w14:val="none"/>
        </w:rPr>
        <w:t xml:space="preserve"> concentration</w:t>
      </w:r>
      <w:r>
        <w:rPr>
          <w:rFonts w:ascii="Arial" w:eastAsia="Times New Roman" w:hAnsi="Arial" w:cs="Arial"/>
          <w:kern w:val="0"/>
          <w14:ligatures w14:val="none"/>
        </w:rPr>
        <w:t xml:space="preserve"> of</w:t>
      </w:r>
      <w:r w:rsidRPr="00066C37">
        <w:rPr>
          <w:rFonts w:ascii="Arial" w:eastAsia="Times New Roman" w:hAnsi="Arial" w:cs="Arial"/>
          <w:kern w:val="0"/>
          <w14:ligatures w14:val="none"/>
        </w:rPr>
        <w:t xml:space="preserve"> aggregate</w:t>
      </w:r>
    </w:p>
    <w:p w14:paraId="11848183" w14:textId="62EB4E4B" w:rsidR="00066C37" w:rsidRPr="00066C37" w:rsidRDefault="00066C37" w:rsidP="00066C37">
      <w:pPr>
        <w:pStyle w:val="ListParagraph"/>
        <w:numPr>
          <w:ilvl w:val="0"/>
          <w:numId w:val="12"/>
        </w:numPr>
        <w:spacing w:before="100" w:beforeAutospacing="1" w:after="100" w:afterAutospacing="1"/>
        <w:rPr>
          <w:rFonts w:ascii="Arial" w:eastAsia="Times New Roman" w:hAnsi="Arial" w:cs="Arial"/>
          <w:kern w:val="0"/>
          <w14:ligatures w14:val="none"/>
        </w:rPr>
      </w:pPr>
      <w:r>
        <w:rPr>
          <w:rFonts w:ascii="Arial" w:eastAsia="Times New Roman" w:hAnsi="Arial" w:cs="Arial"/>
          <w:kern w:val="0"/>
          <w14:ligatures w14:val="none"/>
        </w:rPr>
        <w:t xml:space="preserve">Cell-free control with </w:t>
      </w:r>
      <w:r w:rsidRPr="00066C37">
        <w:rPr>
          <w:rFonts w:ascii="Arial" w:eastAsia="Times New Roman" w:hAnsi="Arial" w:cs="Arial"/>
          <w:kern w:val="0"/>
          <w14:ligatures w14:val="none"/>
        </w:rPr>
        <w:t>high concentration</w:t>
      </w:r>
      <w:r>
        <w:rPr>
          <w:rFonts w:ascii="Arial" w:eastAsia="Times New Roman" w:hAnsi="Arial" w:cs="Arial"/>
          <w:kern w:val="0"/>
          <w14:ligatures w14:val="none"/>
        </w:rPr>
        <w:t xml:space="preserve"> of</w:t>
      </w:r>
      <w:r w:rsidRPr="00066C37">
        <w:rPr>
          <w:rFonts w:ascii="Arial" w:eastAsia="Times New Roman" w:hAnsi="Arial" w:cs="Arial"/>
          <w:kern w:val="0"/>
          <w14:ligatures w14:val="none"/>
        </w:rPr>
        <w:t xml:space="preserve"> aggregate</w:t>
      </w:r>
    </w:p>
    <w:p w14:paraId="6ECE26A8" w14:textId="5D739D4F" w:rsidR="00C4520A" w:rsidRDefault="00C4520A" w:rsidP="000B3929">
      <w:pPr>
        <w:rPr>
          <w:rFonts w:ascii="Arial" w:hAnsi="Arial" w:cs="Arial"/>
          <w:b/>
          <w:bCs/>
        </w:rPr>
      </w:pPr>
      <w:r w:rsidRPr="00AE0AEC">
        <w:rPr>
          <w:rFonts w:ascii="Arial" w:hAnsi="Arial" w:cs="Arial"/>
          <w:b/>
          <w:bCs/>
        </w:rPr>
        <w:t>Example graphs and experimental outcomes</w:t>
      </w:r>
    </w:p>
    <w:p w14:paraId="64ED9E8F" w14:textId="77777777" w:rsidR="00066C37" w:rsidRDefault="00066C37" w:rsidP="000B3929">
      <w:pPr>
        <w:rPr>
          <w:rFonts w:ascii="Arial" w:hAnsi="Arial" w:cs="Arial"/>
          <w:b/>
          <w:bCs/>
        </w:rPr>
      </w:pPr>
    </w:p>
    <w:p w14:paraId="1F7EE098" w14:textId="04493924" w:rsidR="00066C37" w:rsidRDefault="00066C37" w:rsidP="000B3929">
      <w:pPr>
        <w:rPr>
          <w:rFonts w:ascii="Arial" w:hAnsi="Arial" w:cs="Arial"/>
          <w:b/>
          <w:bCs/>
        </w:rPr>
      </w:pPr>
      <w:r>
        <w:rPr>
          <w:rFonts w:ascii="Arial" w:hAnsi="Arial" w:cs="Arial"/>
          <w:b/>
          <w:bCs/>
        </w:rPr>
        <w:t xml:space="preserve">Table 2. </w:t>
      </w:r>
      <w:r w:rsidRPr="00066C37">
        <w:rPr>
          <w:rFonts w:ascii="Arial" w:hAnsi="Arial" w:cs="Arial"/>
        </w:rPr>
        <w:t>Absorban</w:t>
      </w:r>
      <w:r>
        <w:rPr>
          <w:rFonts w:ascii="Arial" w:hAnsi="Arial" w:cs="Arial"/>
        </w:rPr>
        <w:t>ce at 570 nm</w:t>
      </w:r>
    </w:p>
    <w:tbl>
      <w:tblPr>
        <w:tblStyle w:val="TableGrid"/>
        <w:tblW w:w="0" w:type="auto"/>
        <w:jc w:val="center"/>
        <w:tblLayout w:type="fixed"/>
        <w:tblLook w:val="04A0" w:firstRow="1" w:lastRow="0" w:firstColumn="1" w:lastColumn="0" w:noHBand="0" w:noVBand="1"/>
      </w:tblPr>
      <w:tblGrid>
        <w:gridCol w:w="510"/>
        <w:gridCol w:w="1069"/>
        <w:gridCol w:w="1069"/>
        <w:gridCol w:w="1069"/>
        <w:gridCol w:w="1069"/>
        <w:gridCol w:w="1069"/>
        <w:gridCol w:w="1070"/>
        <w:gridCol w:w="485"/>
        <w:gridCol w:w="485"/>
        <w:gridCol w:w="485"/>
        <w:gridCol w:w="485"/>
        <w:gridCol w:w="485"/>
      </w:tblGrid>
      <w:tr w:rsidR="00066C37" w14:paraId="380FABAA" w14:textId="77777777" w:rsidTr="00B8228F">
        <w:trPr>
          <w:jc w:val="center"/>
        </w:trPr>
        <w:tc>
          <w:tcPr>
            <w:tcW w:w="510" w:type="dxa"/>
          </w:tcPr>
          <w:p w14:paraId="71C72C81" w14:textId="77777777" w:rsidR="00066C37" w:rsidRDefault="00066C37" w:rsidP="00B8228F">
            <w:pPr>
              <w:spacing w:before="100" w:beforeAutospacing="1" w:after="100" w:afterAutospacing="1"/>
              <w:rPr>
                <w:rFonts w:ascii="Arial" w:eastAsia="Times New Roman" w:hAnsi="Arial" w:cs="Arial"/>
                <w:kern w:val="0"/>
                <w14:ligatures w14:val="none"/>
              </w:rPr>
            </w:pPr>
            <w:r>
              <w:rPr>
                <w:rFonts w:ascii="Arial" w:eastAsia="Times New Roman" w:hAnsi="Arial" w:cs="Arial"/>
                <w:kern w:val="0"/>
                <w14:ligatures w14:val="none"/>
              </w:rPr>
              <w:t>A1</w:t>
            </w:r>
          </w:p>
        </w:tc>
        <w:tc>
          <w:tcPr>
            <w:tcW w:w="1069" w:type="dxa"/>
          </w:tcPr>
          <w:p w14:paraId="01035245" w14:textId="77777777" w:rsidR="00066C37" w:rsidRDefault="00066C37" w:rsidP="00B8228F">
            <w:pPr>
              <w:spacing w:before="100" w:beforeAutospacing="1" w:after="100" w:afterAutospacing="1"/>
              <w:jc w:val="center"/>
              <w:rPr>
                <w:rFonts w:ascii="Arial" w:eastAsia="Times New Roman" w:hAnsi="Arial" w:cs="Arial"/>
                <w:kern w:val="0"/>
                <w14:ligatures w14:val="none"/>
              </w:rPr>
            </w:pPr>
            <w:r>
              <w:rPr>
                <w:rFonts w:ascii="Arial" w:eastAsia="Times New Roman" w:hAnsi="Arial" w:cs="Arial"/>
                <w:kern w:val="0"/>
                <w14:ligatures w14:val="none"/>
              </w:rPr>
              <w:t>2</w:t>
            </w:r>
          </w:p>
        </w:tc>
        <w:tc>
          <w:tcPr>
            <w:tcW w:w="1069" w:type="dxa"/>
          </w:tcPr>
          <w:p w14:paraId="7777C8DA" w14:textId="77777777" w:rsidR="00066C37" w:rsidRDefault="00066C37" w:rsidP="00B8228F">
            <w:pPr>
              <w:spacing w:before="100" w:beforeAutospacing="1" w:after="100" w:afterAutospacing="1"/>
              <w:jc w:val="center"/>
              <w:rPr>
                <w:rFonts w:ascii="Arial" w:eastAsia="Times New Roman" w:hAnsi="Arial" w:cs="Arial"/>
                <w:kern w:val="0"/>
                <w14:ligatures w14:val="none"/>
              </w:rPr>
            </w:pPr>
            <w:r>
              <w:rPr>
                <w:rFonts w:ascii="Arial" w:eastAsia="Times New Roman" w:hAnsi="Arial" w:cs="Arial"/>
                <w:kern w:val="0"/>
                <w14:ligatures w14:val="none"/>
              </w:rPr>
              <w:t>3</w:t>
            </w:r>
          </w:p>
        </w:tc>
        <w:tc>
          <w:tcPr>
            <w:tcW w:w="1069" w:type="dxa"/>
          </w:tcPr>
          <w:p w14:paraId="49613E58" w14:textId="77777777" w:rsidR="00066C37" w:rsidRDefault="00066C37" w:rsidP="00B8228F">
            <w:pPr>
              <w:spacing w:before="100" w:beforeAutospacing="1" w:after="100" w:afterAutospacing="1"/>
              <w:jc w:val="center"/>
              <w:rPr>
                <w:rFonts w:ascii="Arial" w:eastAsia="Times New Roman" w:hAnsi="Arial" w:cs="Arial"/>
                <w:kern w:val="0"/>
                <w14:ligatures w14:val="none"/>
              </w:rPr>
            </w:pPr>
            <w:r>
              <w:rPr>
                <w:rFonts w:ascii="Arial" w:eastAsia="Times New Roman" w:hAnsi="Arial" w:cs="Arial"/>
                <w:kern w:val="0"/>
                <w14:ligatures w14:val="none"/>
              </w:rPr>
              <w:t>4</w:t>
            </w:r>
          </w:p>
        </w:tc>
        <w:tc>
          <w:tcPr>
            <w:tcW w:w="1069" w:type="dxa"/>
          </w:tcPr>
          <w:p w14:paraId="32A1919B" w14:textId="77777777" w:rsidR="00066C37" w:rsidRDefault="00066C37" w:rsidP="00B8228F">
            <w:pPr>
              <w:spacing w:before="100" w:beforeAutospacing="1" w:after="100" w:afterAutospacing="1"/>
              <w:jc w:val="center"/>
              <w:rPr>
                <w:rFonts w:ascii="Arial" w:eastAsia="Times New Roman" w:hAnsi="Arial" w:cs="Arial"/>
                <w:kern w:val="0"/>
                <w14:ligatures w14:val="none"/>
              </w:rPr>
            </w:pPr>
            <w:r>
              <w:rPr>
                <w:rFonts w:ascii="Arial" w:eastAsia="Times New Roman" w:hAnsi="Arial" w:cs="Arial"/>
                <w:kern w:val="0"/>
                <w14:ligatures w14:val="none"/>
              </w:rPr>
              <w:t>5</w:t>
            </w:r>
          </w:p>
        </w:tc>
        <w:tc>
          <w:tcPr>
            <w:tcW w:w="1069" w:type="dxa"/>
          </w:tcPr>
          <w:p w14:paraId="7B5BC6C4" w14:textId="77777777" w:rsidR="00066C37" w:rsidRDefault="00066C37" w:rsidP="00B8228F">
            <w:pPr>
              <w:spacing w:before="100" w:beforeAutospacing="1" w:after="100" w:afterAutospacing="1"/>
              <w:jc w:val="center"/>
              <w:rPr>
                <w:rFonts w:ascii="Arial" w:eastAsia="Times New Roman" w:hAnsi="Arial" w:cs="Arial"/>
                <w:kern w:val="0"/>
                <w14:ligatures w14:val="none"/>
              </w:rPr>
            </w:pPr>
            <w:r>
              <w:rPr>
                <w:rFonts w:ascii="Arial" w:eastAsia="Times New Roman" w:hAnsi="Arial" w:cs="Arial"/>
                <w:kern w:val="0"/>
                <w14:ligatures w14:val="none"/>
              </w:rPr>
              <w:t>6</w:t>
            </w:r>
          </w:p>
        </w:tc>
        <w:tc>
          <w:tcPr>
            <w:tcW w:w="1070" w:type="dxa"/>
          </w:tcPr>
          <w:p w14:paraId="0AE536C8" w14:textId="77777777" w:rsidR="00066C37" w:rsidRDefault="00066C37" w:rsidP="00B8228F">
            <w:pPr>
              <w:spacing w:before="100" w:beforeAutospacing="1" w:after="100" w:afterAutospacing="1"/>
              <w:jc w:val="center"/>
              <w:rPr>
                <w:rFonts w:ascii="Arial" w:eastAsia="Times New Roman" w:hAnsi="Arial" w:cs="Arial"/>
                <w:kern w:val="0"/>
                <w14:ligatures w14:val="none"/>
              </w:rPr>
            </w:pPr>
            <w:r>
              <w:rPr>
                <w:rFonts w:ascii="Arial" w:eastAsia="Times New Roman" w:hAnsi="Arial" w:cs="Arial"/>
                <w:kern w:val="0"/>
                <w14:ligatures w14:val="none"/>
              </w:rPr>
              <w:t>7</w:t>
            </w:r>
          </w:p>
        </w:tc>
        <w:tc>
          <w:tcPr>
            <w:tcW w:w="485" w:type="dxa"/>
          </w:tcPr>
          <w:p w14:paraId="16734796" w14:textId="77777777" w:rsidR="00066C37" w:rsidRDefault="00066C37" w:rsidP="00B8228F">
            <w:pPr>
              <w:spacing w:before="100" w:beforeAutospacing="1" w:after="100" w:afterAutospacing="1"/>
              <w:jc w:val="center"/>
              <w:rPr>
                <w:rFonts w:ascii="Arial" w:eastAsia="Times New Roman" w:hAnsi="Arial" w:cs="Arial"/>
                <w:kern w:val="0"/>
                <w14:ligatures w14:val="none"/>
              </w:rPr>
            </w:pPr>
            <w:r>
              <w:rPr>
                <w:rFonts w:ascii="Arial" w:eastAsia="Times New Roman" w:hAnsi="Arial" w:cs="Arial"/>
                <w:kern w:val="0"/>
                <w14:ligatures w14:val="none"/>
              </w:rPr>
              <w:t>8</w:t>
            </w:r>
          </w:p>
        </w:tc>
        <w:tc>
          <w:tcPr>
            <w:tcW w:w="485" w:type="dxa"/>
          </w:tcPr>
          <w:p w14:paraId="5F8E106B" w14:textId="77777777" w:rsidR="00066C37" w:rsidRDefault="00066C37" w:rsidP="00B8228F">
            <w:pPr>
              <w:spacing w:before="100" w:beforeAutospacing="1" w:after="100" w:afterAutospacing="1"/>
              <w:jc w:val="center"/>
              <w:rPr>
                <w:rFonts w:ascii="Arial" w:eastAsia="Times New Roman" w:hAnsi="Arial" w:cs="Arial"/>
                <w:kern w:val="0"/>
                <w14:ligatures w14:val="none"/>
              </w:rPr>
            </w:pPr>
            <w:r>
              <w:rPr>
                <w:rFonts w:ascii="Arial" w:eastAsia="Times New Roman" w:hAnsi="Arial" w:cs="Arial"/>
                <w:kern w:val="0"/>
                <w14:ligatures w14:val="none"/>
              </w:rPr>
              <w:t>9</w:t>
            </w:r>
          </w:p>
        </w:tc>
        <w:tc>
          <w:tcPr>
            <w:tcW w:w="485" w:type="dxa"/>
          </w:tcPr>
          <w:p w14:paraId="6818CB49" w14:textId="77777777" w:rsidR="00066C37" w:rsidRDefault="00066C37" w:rsidP="00B8228F">
            <w:pPr>
              <w:spacing w:before="100" w:beforeAutospacing="1" w:after="100" w:afterAutospacing="1"/>
              <w:jc w:val="center"/>
              <w:rPr>
                <w:rFonts w:ascii="Arial" w:eastAsia="Times New Roman" w:hAnsi="Arial" w:cs="Arial"/>
                <w:kern w:val="0"/>
                <w14:ligatures w14:val="none"/>
              </w:rPr>
            </w:pPr>
            <w:r>
              <w:rPr>
                <w:rFonts w:ascii="Arial" w:eastAsia="Times New Roman" w:hAnsi="Arial" w:cs="Arial"/>
                <w:kern w:val="0"/>
                <w14:ligatures w14:val="none"/>
              </w:rPr>
              <w:t>10</w:t>
            </w:r>
          </w:p>
        </w:tc>
        <w:tc>
          <w:tcPr>
            <w:tcW w:w="485" w:type="dxa"/>
          </w:tcPr>
          <w:p w14:paraId="1A3B975F" w14:textId="77777777" w:rsidR="00066C37" w:rsidRDefault="00066C37" w:rsidP="00B8228F">
            <w:pPr>
              <w:spacing w:before="100" w:beforeAutospacing="1" w:after="100" w:afterAutospacing="1"/>
              <w:jc w:val="center"/>
              <w:rPr>
                <w:rFonts w:ascii="Arial" w:eastAsia="Times New Roman" w:hAnsi="Arial" w:cs="Arial"/>
                <w:kern w:val="0"/>
                <w14:ligatures w14:val="none"/>
              </w:rPr>
            </w:pPr>
            <w:r>
              <w:rPr>
                <w:rFonts w:ascii="Arial" w:eastAsia="Times New Roman" w:hAnsi="Arial" w:cs="Arial"/>
                <w:kern w:val="0"/>
                <w14:ligatures w14:val="none"/>
              </w:rPr>
              <w:t>11</w:t>
            </w:r>
          </w:p>
        </w:tc>
        <w:tc>
          <w:tcPr>
            <w:tcW w:w="485" w:type="dxa"/>
          </w:tcPr>
          <w:p w14:paraId="7B2AE7E8" w14:textId="77777777" w:rsidR="00066C37" w:rsidRDefault="00066C37" w:rsidP="00B8228F">
            <w:pPr>
              <w:spacing w:before="100" w:beforeAutospacing="1" w:after="100" w:afterAutospacing="1"/>
              <w:jc w:val="center"/>
              <w:rPr>
                <w:rFonts w:ascii="Arial" w:eastAsia="Times New Roman" w:hAnsi="Arial" w:cs="Arial"/>
                <w:kern w:val="0"/>
                <w14:ligatures w14:val="none"/>
              </w:rPr>
            </w:pPr>
            <w:r>
              <w:rPr>
                <w:rFonts w:ascii="Arial" w:eastAsia="Times New Roman" w:hAnsi="Arial" w:cs="Arial"/>
                <w:kern w:val="0"/>
                <w14:ligatures w14:val="none"/>
              </w:rPr>
              <w:t>12</w:t>
            </w:r>
          </w:p>
        </w:tc>
      </w:tr>
      <w:tr w:rsidR="00B93905" w14:paraId="6EAF7658" w14:textId="77777777" w:rsidTr="00B8228F">
        <w:trPr>
          <w:jc w:val="center"/>
        </w:trPr>
        <w:tc>
          <w:tcPr>
            <w:tcW w:w="510" w:type="dxa"/>
          </w:tcPr>
          <w:p w14:paraId="4C396050" w14:textId="77777777" w:rsidR="00B93905" w:rsidRDefault="00B93905" w:rsidP="00B93905">
            <w:pPr>
              <w:spacing w:before="100" w:beforeAutospacing="1" w:after="100" w:afterAutospacing="1"/>
              <w:rPr>
                <w:rFonts w:ascii="Arial" w:eastAsia="Times New Roman" w:hAnsi="Arial" w:cs="Arial"/>
                <w:kern w:val="0"/>
                <w14:ligatures w14:val="none"/>
              </w:rPr>
            </w:pPr>
            <w:r>
              <w:rPr>
                <w:rFonts w:ascii="Arial" w:eastAsia="Times New Roman" w:hAnsi="Arial" w:cs="Arial"/>
                <w:kern w:val="0"/>
                <w14:ligatures w14:val="none"/>
              </w:rPr>
              <w:t>B</w:t>
            </w:r>
          </w:p>
        </w:tc>
        <w:tc>
          <w:tcPr>
            <w:tcW w:w="1069" w:type="dxa"/>
          </w:tcPr>
          <w:p w14:paraId="5030C8CF" w14:textId="01C19B60"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0.0</w:t>
            </w:r>
            <w:r w:rsidR="001219ED">
              <w:rPr>
                <w:rFonts w:ascii="Arial" w:eastAsia="Times New Roman" w:hAnsi="Arial" w:cs="Arial"/>
                <w:kern w:val="0"/>
                <w:sz w:val="18"/>
                <w:szCs w:val="18"/>
                <w14:ligatures w14:val="none"/>
              </w:rPr>
              <w:t>09</w:t>
            </w:r>
          </w:p>
        </w:tc>
        <w:tc>
          <w:tcPr>
            <w:tcW w:w="1069" w:type="dxa"/>
          </w:tcPr>
          <w:p w14:paraId="7A948EAD" w14:textId="347AB8F8"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0.0</w:t>
            </w:r>
            <w:r w:rsidR="001219ED">
              <w:rPr>
                <w:rFonts w:ascii="Arial" w:eastAsia="Times New Roman" w:hAnsi="Arial" w:cs="Arial"/>
                <w:kern w:val="0"/>
                <w:sz w:val="18"/>
                <w:szCs w:val="18"/>
                <w14:ligatures w14:val="none"/>
              </w:rPr>
              <w:t>89</w:t>
            </w:r>
          </w:p>
        </w:tc>
        <w:tc>
          <w:tcPr>
            <w:tcW w:w="1069" w:type="dxa"/>
          </w:tcPr>
          <w:p w14:paraId="30328F1D" w14:textId="788B9602"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0.023</w:t>
            </w:r>
          </w:p>
        </w:tc>
        <w:tc>
          <w:tcPr>
            <w:tcW w:w="1069" w:type="dxa"/>
          </w:tcPr>
          <w:p w14:paraId="1EA92693" w14:textId="6E9D05D4"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0.147</w:t>
            </w:r>
          </w:p>
        </w:tc>
        <w:tc>
          <w:tcPr>
            <w:tcW w:w="1069" w:type="dxa"/>
          </w:tcPr>
          <w:p w14:paraId="5A39A37A" w14:textId="5C1DC46A"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0.402</w:t>
            </w:r>
          </w:p>
        </w:tc>
        <w:tc>
          <w:tcPr>
            <w:tcW w:w="1070" w:type="dxa"/>
          </w:tcPr>
          <w:p w14:paraId="7041637F" w14:textId="19A3D466"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w:t>
            </w:r>
            <w:r w:rsidR="001219ED">
              <w:rPr>
                <w:rFonts w:ascii="Arial" w:eastAsia="Times New Roman" w:hAnsi="Arial" w:cs="Arial"/>
                <w:kern w:val="0"/>
                <w:sz w:val="18"/>
                <w:szCs w:val="18"/>
                <w14:ligatures w14:val="none"/>
              </w:rPr>
              <w:t>020</w:t>
            </w:r>
          </w:p>
        </w:tc>
        <w:tc>
          <w:tcPr>
            <w:tcW w:w="485" w:type="dxa"/>
          </w:tcPr>
          <w:p w14:paraId="1792F9B9" w14:textId="77777777"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7C82E7F9" w14:textId="77777777"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450A3D62" w14:textId="77777777"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34E1B13E" w14:textId="77777777"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51596CCB" w14:textId="77777777" w:rsidR="00B93905" w:rsidRDefault="00B93905" w:rsidP="00B93905">
            <w:pPr>
              <w:spacing w:before="100" w:beforeAutospacing="1" w:after="100" w:afterAutospacing="1"/>
              <w:rPr>
                <w:rFonts w:ascii="Arial" w:eastAsia="Times New Roman" w:hAnsi="Arial" w:cs="Arial"/>
                <w:kern w:val="0"/>
                <w14:ligatures w14:val="none"/>
              </w:rPr>
            </w:pPr>
          </w:p>
        </w:tc>
      </w:tr>
      <w:tr w:rsidR="00B93905" w14:paraId="4EB9DBAD" w14:textId="77777777" w:rsidTr="00B8228F">
        <w:trPr>
          <w:jc w:val="center"/>
        </w:trPr>
        <w:tc>
          <w:tcPr>
            <w:tcW w:w="510" w:type="dxa"/>
          </w:tcPr>
          <w:p w14:paraId="5C5BFC90" w14:textId="77777777" w:rsidR="00B93905" w:rsidRDefault="00B93905" w:rsidP="00B93905">
            <w:pPr>
              <w:spacing w:before="100" w:beforeAutospacing="1" w:after="100" w:afterAutospacing="1"/>
              <w:rPr>
                <w:rFonts w:ascii="Arial" w:eastAsia="Times New Roman" w:hAnsi="Arial" w:cs="Arial"/>
                <w:kern w:val="0"/>
                <w14:ligatures w14:val="none"/>
              </w:rPr>
            </w:pPr>
            <w:r>
              <w:rPr>
                <w:rFonts w:ascii="Arial" w:eastAsia="Times New Roman" w:hAnsi="Arial" w:cs="Arial"/>
                <w:kern w:val="0"/>
                <w14:ligatures w14:val="none"/>
              </w:rPr>
              <w:t>C</w:t>
            </w:r>
          </w:p>
        </w:tc>
        <w:tc>
          <w:tcPr>
            <w:tcW w:w="1069" w:type="dxa"/>
          </w:tcPr>
          <w:p w14:paraId="4FF4FE0C" w14:textId="77DBAB1E"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w:t>
            </w:r>
            <w:r w:rsidR="001219ED">
              <w:rPr>
                <w:rFonts w:ascii="Arial" w:eastAsia="Times New Roman" w:hAnsi="Arial" w:cs="Arial"/>
                <w:kern w:val="0"/>
                <w:sz w:val="18"/>
                <w:szCs w:val="18"/>
                <w14:ligatures w14:val="none"/>
              </w:rPr>
              <w:t>010</w:t>
            </w:r>
          </w:p>
        </w:tc>
        <w:tc>
          <w:tcPr>
            <w:tcW w:w="1069" w:type="dxa"/>
          </w:tcPr>
          <w:p w14:paraId="04C2F51E" w14:textId="76FC2D12"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0.248</w:t>
            </w:r>
          </w:p>
        </w:tc>
        <w:tc>
          <w:tcPr>
            <w:tcW w:w="1069" w:type="dxa"/>
          </w:tcPr>
          <w:p w14:paraId="464242CF" w14:textId="2BECD06F"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0.0</w:t>
            </w:r>
            <w:r w:rsidR="001219ED">
              <w:rPr>
                <w:rFonts w:ascii="Arial" w:eastAsia="Times New Roman" w:hAnsi="Arial" w:cs="Arial"/>
                <w:kern w:val="0"/>
                <w:sz w:val="18"/>
                <w:szCs w:val="18"/>
                <w14:ligatures w14:val="none"/>
              </w:rPr>
              <w:t>93</w:t>
            </w:r>
          </w:p>
        </w:tc>
        <w:tc>
          <w:tcPr>
            <w:tcW w:w="1069" w:type="dxa"/>
          </w:tcPr>
          <w:p w14:paraId="7709E0E7" w14:textId="02912186"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0.245</w:t>
            </w:r>
          </w:p>
        </w:tc>
        <w:tc>
          <w:tcPr>
            <w:tcW w:w="1069" w:type="dxa"/>
          </w:tcPr>
          <w:p w14:paraId="5105F8BA" w14:textId="142F320F"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0.310</w:t>
            </w:r>
          </w:p>
        </w:tc>
        <w:tc>
          <w:tcPr>
            <w:tcW w:w="1070" w:type="dxa"/>
          </w:tcPr>
          <w:p w14:paraId="6D23C651" w14:textId="79E464CA"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w:t>
            </w:r>
            <w:r w:rsidR="001219ED">
              <w:rPr>
                <w:rFonts w:ascii="Arial" w:eastAsia="Times New Roman" w:hAnsi="Arial" w:cs="Arial"/>
                <w:kern w:val="0"/>
                <w:sz w:val="18"/>
                <w:szCs w:val="18"/>
                <w14:ligatures w14:val="none"/>
              </w:rPr>
              <w:t>019</w:t>
            </w:r>
          </w:p>
        </w:tc>
        <w:tc>
          <w:tcPr>
            <w:tcW w:w="485" w:type="dxa"/>
          </w:tcPr>
          <w:p w14:paraId="107C0DF6" w14:textId="77777777"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023045A7" w14:textId="77777777"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10ECBC63" w14:textId="77777777"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6503D597" w14:textId="77777777"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5F25F877" w14:textId="77777777" w:rsidR="00B93905" w:rsidRDefault="00B93905" w:rsidP="00B93905">
            <w:pPr>
              <w:spacing w:before="100" w:beforeAutospacing="1" w:after="100" w:afterAutospacing="1"/>
              <w:rPr>
                <w:rFonts w:ascii="Arial" w:eastAsia="Times New Roman" w:hAnsi="Arial" w:cs="Arial"/>
                <w:kern w:val="0"/>
                <w14:ligatures w14:val="none"/>
              </w:rPr>
            </w:pPr>
          </w:p>
        </w:tc>
      </w:tr>
      <w:tr w:rsidR="00B93905" w14:paraId="5F156B81" w14:textId="77777777" w:rsidTr="00B8228F">
        <w:trPr>
          <w:jc w:val="center"/>
        </w:trPr>
        <w:tc>
          <w:tcPr>
            <w:tcW w:w="510" w:type="dxa"/>
          </w:tcPr>
          <w:p w14:paraId="4B2D4BA5" w14:textId="77777777" w:rsidR="00B93905" w:rsidRDefault="00B93905" w:rsidP="00B93905">
            <w:pPr>
              <w:spacing w:before="100" w:beforeAutospacing="1" w:after="100" w:afterAutospacing="1"/>
              <w:rPr>
                <w:rFonts w:ascii="Arial" w:eastAsia="Times New Roman" w:hAnsi="Arial" w:cs="Arial"/>
                <w:kern w:val="0"/>
                <w14:ligatures w14:val="none"/>
              </w:rPr>
            </w:pPr>
            <w:r>
              <w:rPr>
                <w:rFonts w:ascii="Arial" w:eastAsia="Times New Roman" w:hAnsi="Arial" w:cs="Arial"/>
                <w:kern w:val="0"/>
                <w14:ligatures w14:val="none"/>
              </w:rPr>
              <w:t>D</w:t>
            </w:r>
          </w:p>
        </w:tc>
        <w:tc>
          <w:tcPr>
            <w:tcW w:w="1069" w:type="dxa"/>
          </w:tcPr>
          <w:p w14:paraId="23BBE3F1" w14:textId="6DE9EF10"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0.0</w:t>
            </w:r>
            <w:r w:rsidR="001219ED">
              <w:rPr>
                <w:rFonts w:ascii="Arial" w:eastAsia="Times New Roman" w:hAnsi="Arial" w:cs="Arial"/>
                <w:kern w:val="0"/>
                <w:sz w:val="18"/>
                <w:szCs w:val="18"/>
                <w14:ligatures w14:val="none"/>
              </w:rPr>
              <w:t>14</w:t>
            </w:r>
          </w:p>
        </w:tc>
        <w:tc>
          <w:tcPr>
            <w:tcW w:w="1069" w:type="dxa"/>
          </w:tcPr>
          <w:p w14:paraId="7A2456B6" w14:textId="4E2215F4"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0.157</w:t>
            </w:r>
          </w:p>
        </w:tc>
        <w:tc>
          <w:tcPr>
            <w:tcW w:w="1069" w:type="dxa"/>
          </w:tcPr>
          <w:p w14:paraId="5F1F6CDE" w14:textId="4A7B3093"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0.145</w:t>
            </w:r>
          </w:p>
        </w:tc>
        <w:tc>
          <w:tcPr>
            <w:tcW w:w="1069" w:type="dxa"/>
          </w:tcPr>
          <w:p w14:paraId="53A05817" w14:textId="401A4CB5"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0.233</w:t>
            </w:r>
          </w:p>
        </w:tc>
        <w:tc>
          <w:tcPr>
            <w:tcW w:w="1069" w:type="dxa"/>
          </w:tcPr>
          <w:p w14:paraId="49604338" w14:textId="1A75833F"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0.182</w:t>
            </w:r>
          </w:p>
        </w:tc>
        <w:tc>
          <w:tcPr>
            <w:tcW w:w="1070" w:type="dxa"/>
          </w:tcPr>
          <w:p w14:paraId="0CFFA585" w14:textId="3D760B04"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w:t>
            </w:r>
            <w:r w:rsidR="001219ED">
              <w:rPr>
                <w:rFonts w:ascii="Arial" w:eastAsia="Times New Roman" w:hAnsi="Arial" w:cs="Arial"/>
                <w:kern w:val="0"/>
                <w:sz w:val="18"/>
                <w:szCs w:val="18"/>
                <w14:ligatures w14:val="none"/>
              </w:rPr>
              <w:t>012</w:t>
            </w:r>
          </w:p>
        </w:tc>
        <w:tc>
          <w:tcPr>
            <w:tcW w:w="485" w:type="dxa"/>
          </w:tcPr>
          <w:p w14:paraId="467DA18E" w14:textId="77777777"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5CAB8DF0" w14:textId="77777777"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3C7129B9" w14:textId="77777777"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5C5A6982" w14:textId="77777777"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138E8F20" w14:textId="77777777" w:rsidR="00B93905" w:rsidRDefault="00B93905" w:rsidP="00B93905">
            <w:pPr>
              <w:spacing w:before="100" w:beforeAutospacing="1" w:after="100" w:afterAutospacing="1"/>
              <w:rPr>
                <w:rFonts w:ascii="Arial" w:eastAsia="Times New Roman" w:hAnsi="Arial" w:cs="Arial"/>
                <w:kern w:val="0"/>
                <w14:ligatures w14:val="none"/>
              </w:rPr>
            </w:pPr>
          </w:p>
        </w:tc>
      </w:tr>
      <w:tr w:rsidR="00B93905" w14:paraId="46402030" w14:textId="77777777" w:rsidTr="00B8228F">
        <w:trPr>
          <w:jc w:val="center"/>
        </w:trPr>
        <w:tc>
          <w:tcPr>
            <w:tcW w:w="510" w:type="dxa"/>
          </w:tcPr>
          <w:p w14:paraId="53CA2C7F" w14:textId="77777777" w:rsidR="00B93905" w:rsidRDefault="00B93905" w:rsidP="00B93905">
            <w:pPr>
              <w:spacing w:before="100" w:beforeAutospacing="1" w:after="100" w:afterAutospacing="1"/>
              <w:rPr>
                <w:rFonts w:ascii="Arial" w:eastAsia="Times New Roman" w:hAnsi="Arial" w:cs="Arial"/>
                <w:kern w:val="0"/>
                <w14:ligatures w14:val="none"/>
              </w:rPr>
            </w:pPr>
            <w:r>
              <w:rPr>
                <w:rFonts w:ascii="Arial" w:eastAsia="Times New Roman" w:hAnsi="Arial" w:cs="Arial"/>
                <w:kern w:val="0"/>
                <w14:ligatures w14:val="none"/>
              </w:rPr>
              <w:t>E</w:t>
            </w:r>
          </w:p>
        </w:tc>
        <w:tc>
          <w:tcPr>
            <w:tcW w:w="1069" w:type="dxa"/>
          </w:tcPr>
          <w:p w14:paraId="0E19EEEA" w14:textId="761C09B0"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0.0</w:t>
            </w:r>
            <w:r w:rsidR="001219ED">
              <w:rPr>
                <w:rFonts w:ascii="Arial" w:eastAsia="Times New Roman" w:hAnsi="Arial" w:cs="Arial"/>
                <w:kern w:val="0"/>
                <w:sz w:val="18"/>
                <w:szCs w:val="18"/>
                <w14:ligatures w14:val="none"/>
              </w:rPr>
              <w:t>89</w:t>
            </w:r>
          </w:p>
        </w:tc>
        <w:tc>
          <w:tcPr>
            <w:tcW w:w="1069" w:type="dxa"/>
          </w:tcPr>
          <w:p w14:paraId="13EF3444" w14:textId="5EB109D9"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0.149</w:t>
            </w:r>
          </w:p>
        </w:tc>
        <w:tc>
          <w:tcPr>
            <w:tcW w:w="1069" w:type="dxa"/>
          </w:tcPr>
          <w:p w14:paraId="5AB4E374" w14:textId="3305DE20"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0.124</w:t>
            </w:r>
          </w:p>
        </w:tc>
        <w:tc>
          <w:tcPr>
            <w:tcW w:w="1069" w:type="dxa"/>
          </w:tcPr>
          <w:p w14:paraId="6886AF4E" w14:textId="573DDCB4"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0.293</w:t>
            </w:r>
          </w:p>
        </w:tc>
        <w:tc>
          <w:tcPr>
            <w:tcW w:w="1069" w:type="dxa"/>
          </w:tcPr>
          <w:p w14:paraId="12003F32" w14:textId="36C8AB40"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0.123</w:t>
            </w:r>
          </w:p>
        </w:tc>
        <w:tc>
          <w:tcPr>
            <w:tcW w:w="1070" w:type="dxa"/>
          </w:tcPr>
          <w:p w14:paraId="2E851E4F" w14:textId="6A0CE13D"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w:t>
            </w:r>
            <w:r w:rsidR="001219ED">
              <w:rPr>
                <w:rFonts w:ascii="Arial" w:eastAsia="Times New Roman" w:hAnsi="Arial" w:cs="Arial"/>
                <w:kern w:val="0"/>
                <w:sz w:val="18"/>
                <w:szCs w:val="18"/>
                <w14:ligatures w14:val="none"/>
              </w:rPr>
              <w:t>010</w:t>
            </w:r>
          </w:p>
        </w:tc>
        <w:tc>
          <w:tcPr>
            <w:tcW w:w="485" w:type="dxa"/>
          </w:tcPr>
          <w:p w14:paraId="43E87891" w14:textId="77777777"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48663189" w14:textId="77777777"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13872CF7" w14:textId="77777777"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43D4AB30" w14:textId="77777777"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50B837C3" w14:textId="77777777" w:rsidR="00B93905" w:rsidRDefault="00B93905" w:rsidP="00B93905">
            <w:pPr>
              <w:spacing w:before="100" w:beforeAutospacing="1" w:after="100" w:afterAutospacing="1"/>
              <w:rPr>
                <w:rFonts w:ascii="Arial" w:eastAsia="Times New Roman" w:hAnsi="Arial" w:cs="Arial"/>
                <w:kern w:val="0"/>
                <w14:ligatures w14:val="none"/>
              </w:rPr>
            </w:pPr>
          </w:p>
        </w:tc>
      </w:tr>
      <w:tr w:rsidR="00B93905" w14:paraId="7C8773B4" w14:textId="77777777" w:rsidTr="00B8228F">
        <w:trPr>
          <w:jc w:val="center"/>
        </w:trPr>
        <w:tc>
          <w:tcPr>
            <w:tcW w:w="510" w:type="dxa"/>
          </w:tcPr>
          <w:p w14:paraId="251F9DF1" w14:textId="77777777" w:rsidR="00B93905" w:rsidRDefault="00B93905" w:rsidP="00B93905">
            <w:pPr>
              <w:spacing w:before="100" w:beforeAutospacing="1" w:after="100" w:afterAutospacing="1"/>
              <w:rPr>
                <w:rFonts w:ascii="Arial" w:eastAsia="Times New Roman" w:hAnsi="Arial" w:cs="Arial"/>
                <w:kern w:val="0"/>
                <w14:ligatures w14:val="none"/>
              </w:rPr>
            </w:pPr>
            <w:r>
              <w:rPr>
                <w:rFonts w:ascii="Arial" w:eastAsia="Times New Roman" w:hAnsi="Arial" w:cs="Arial"/>
                <w:kern w:val="0"/>
                <w14:ligatures w14:val="none"/>
              </w:rPr>
              <w:t>F</w:t>
            </w:r>
          </w:p>
        </w:tc>
        <w:tc>
          <w:tcPr>
            <w:tcW w:w="1069" w:type="dxa"/>
          </w:tcPr>
          <w:p w14:paraId="48FAEB7C" w14:textId="6D095DC9"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w:t>
            </w:r>
            <w:r w:rsidR="001219ED">
              <w:rPr>
                <w:rFonts w:ascii="Arial" w:eastAsia="Times New Roman" w:hAnsi="Arial" w:cs="Arial"/>
                <w:kern w:val="0"/>
                <w:sz w:val="18"/>
                <w:szCs w:val="18"/>
                <w14:ligatures w14:val="none"/>
              </w:rPr>
              <w:t>009</w:t>
            </w:r>
          </w:p>
        </w:tc>
        <w:tc>
          <w:tcPr>
            <w:tcW w:w="1069" w:type="dxa"/>
          </w:tcPr>
          <w:p w14:paraId="5D28D215" w14:textId="2EDA8799"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0.300</w:t>
            </w:r>
          </w:p>
        </w:tc>
        <w:tc>
          <w:tcPr>
            <w:tcW w:w="1069" w:type="dxa"/>
          </w:tcPr>
          <w:p w14:paraId="021047E6" w14:textId="33DFF9E6"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0.240</w:t>
            </w:r>
          </w:p>
        </w:tc>
        <w:tc>
          <w:tcPr>
            <w:tcW w:w="1069" w:type="dxa"/>
          </w:tcPr>
          <w:p w14:paraId="45A2F4FB" w14:textId="0165924D"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0.251</w:t>
            </w:r>
          </w:p>
        </w:tc>
        <w:tc>
          <w:tcPr>
            <w:tcW w:w="1069" w:type="dxa"/>
          </w:tcPr>
          <w:p w14:paraId="179D2465" w14:textId="47560ADF"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0.255</w:t>
            </w:r>
          </w:p>
        </w:tc>
        <w:tc>
          <w:tcPr>
            <w:tcW w:w="1070" w:type="dxa"/>
          </w:tcPr>
          <w:p w14:paraId="0289EDB1" w14:textId="7A2246E1"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w:t>
            </w:r>
            <w:r w:rsidR="001219ED">
              <w:rPr>
                <w:rFonts w:ascii="Arial" w:eastAsia="Times New Roman" w:hAnsi="Arial" w:cs="Arial"/>
                <w:kern w:val="0"/>
                <w:sz w:val="18"/>
                <w:szCs w:val="18"/>
                <w14:ligatures w14:val="none"/>
              </w:rPr>
              <w:t>008</w:t>
            </w:r>
          </w:p>
        </w:tc>
        <w:tc>
          <w:tcPr>
            <w:tcW w:w="485" w:type="dxa"/>
          </w:tcPr>
          <w:p w14:paraId="00705F38" w14:textId="77777777"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7201987F" w14:textId="77777777"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424436F8" w14:textId="77777777"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4DFD920C" w14:textId="77777777"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13D8BAEB" w14:textId="77777777" w:rsidR="00B93905" w:rsidRDefault="00B93905" w:rsidP="00B93905">
            <w:pPr>
              <w:spacing w:before="100" w:beforeAutospacing="1" w:after="100" w:afterAutospacing="1"/>
              <w:rPr>
                <w:rFonts w:ascii="Arial" w:eastAsia="Times New Roman" w:hAnsi="Arial" w:cs="Arial"/>
                <w:kern w:val="0"/>
                <w14:ligatures w14:val="none"/>
              </w:rPr>
            </w:pPr>
          </w:p>
        </w:tc>
      </w:tr>
      <w:tr w:rsidR="00B93905" w14:paraId="2019855D" w14:textId="77777777" w:rsidTr="00B8228F">
        <w:trPr>
          <w:jc w:val="center"/>
        </w:trPr>
        <w:tc>
          <w:tcPr>
            <w:tcW w:w="510" w:type="dxa"/>
          </w:tcPr>
          <w:p w14:paraId="736EB247" w14:textId="77777777" w:rsidR="00B93905" w:rsidRDefault="00B93905" w:rsidP="00B93905">
            <w:pPr>
              <w:spacing w:before="100" w:beforeAutospacing="1" w:after="100" w:afterAutospacing="1"/>
              <w:rPr>
                <w:rFonts w:ascii="Arial" w:eastAsia="Times New Roman" w:hAnsi="Arial" w:cs="Arial"/>
                <w:kern w:val="0"/>
                <w14:ligatures w14:val="none"/>
              </w:rPr>
            </w:pPr>
            <w:r>
              <w:rPr>
                <w:rFonts w:ascii="Arial" w:eastAsia="Times New Roman" w:hAnsi="Arial" w:cs="Arial"/>
                <w:kern w:val="0"/>
                <w14:ligatures w14:val="none"/>
              </w:rPr>
              <w:t>G</w:t>
            </w:r>
          </w:p>
        </w:tc>
        <w:tc>
          <w:tcPr>
            <w:tcW w:w="1069" w:type="dxa"/>
          </w:tcPr>
          <w:p w14:paraId="78BA5197" w14:textId="6E316888"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w:t>
            </w:r>
            <w:r w:rsidR="001219ED">
              <w:rPr>
                <w:rFonts w:ascii="Arial" w:eastAsia="Times New Roman" w:hAnsi="Arial" w:cs="Arial"/>
                <w:kern w:val="0"/>
                <w:sz w:val="18"/>
                <w:szCs w:val="18"/>
                <w14:ligatures w14:val="none"/>
              </w:rPr>
              <w:t>010</w:t>
            </w:r>
          </w:p>
        </w:tc>
        <w:tc>
          <w:tcPr>
            <w:tcW w:w="1069" w:type="dxa"/>
          </w:tcPr>
          <w:p w14:paraId="1ED8FB2E" w14:textId="67592605"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0.088</w:t>
            </w:r>
          </w:p>
        </w:tc>
        <w:tc>
          <w:tcPr>
            <w:tcW w:w="1069" w:type="dxa"/>
          </w:tcPr>
          <w:p w14:paraId="0528C7CA" w14:textId="03015A5C"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0.197</w:t>
            </w:r>
          </w:p>
        </w:tc>
        <w:tc>
          <w:tcPr>
            <w:tcW w:w="1069" w:type="dxa"/>
          </w:tcPr>
          <w:p w14:paraId="08854D14" w14:textId="25592AF8"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0.433</w:t>
            </w:r>
          </w:p>
        </w:tc>
        <w:tc>
          <w:tcPr>
            <w:tcW w:w="1069" w:type="dxa"/>
          </w:tcPr>
          <w:p w14:paraId="7CEAB0AF" w14:textId="6851790E"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0.243</w:t>
            </w:r>
          </w:p>
        </w:tc>
        <w:tc>
          <w:tcPr>
            <w:tcW w:w="1070" w:type="dxa"/>
          </w:tcPr>
          <w:p w14:paraId="52892129" w14:textId="1A082316"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r>
              <w:rPr>
                <w:rFonts w:ascii="Arial" w:eastAsia="Times New Roman" w:hAnsi="Arial" w:cs="Arial"/>
                <w:kern w:val="0"/>
                <w:sz w:val="18"/>
                <w:szCs w:val="18"/>
                <w14:ligatures w14:val="none"/>
              </w:rPr>
              <w:t>0.</w:t>
            </w:r>
            <w:r w:rsidR="001219ED">
              <w:rPr>
                <w:rFonts w:ascii="Arial" w:eastAsia="Times New Roman" w:hAnsi="Arial" w:cs="Arial"/>
                <w:kern w:val="0"/>
                <w:sz w:val="18"/>
                <w:szCs w:val="18"/>
                <w14:ligatures w14:val="none"/>
              </w:rPr>
              <w:t>024</w:t>
            </w:r>
          </w:p>
        </w:tc>
        <w:tc>
          <w:tcPr>
            <w:tcW w:w="485" w:type="dxa"/>
          </w:tcPr>
          <w:p w14:paraId="71C9F7D6" w14:textId="77777777"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6C35B3B1" w14:textId="77777777"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633B7D51" w14:textId="77777777"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7C437B8B" w14:textId="77777777" w:rsidR="00B93905" w:rsidRPr="00D64845" w:rsidRDefault="00B93905" w:rsidP="00B93905">
            <w:pPr>
              <w:spacing w:before="100" w:beforeAutospacing="1" w:after="100" w:afterAutospacing="1"/>
              <w:jc w:val="center"/>
              <w:rPr>
                <w:rFonts w:ascii="Arial" w:eastAsia="Times New Roman" w:hAnsi="Arial" w:cs="Arial"/>
                <w:kern w:val="0"/>
                <w:sz w:val="18"/>
                <w:szCs w:val="18"/>
                <w14:ligatures w14:val="none"/>
              </w:rPr>
            </w:pPr>
          </w:p>
        </w:tc>
        <w:tc>
          <w:tcPr>
            <w:tcW w:w="485" w:type="dxa"/>
          </w:tcPr>
          <w:p w14:paraId="43E76BA6" w14:textId="77777777" w:rsidR="00B93905" w:rsidRDefault="00B93905" w:rsidP="00B93905">
            <w:pPr>
              <w:spacing w:before="100" w:beforeAutospacing="1" w:after="100" w:afterAutospacing="1"/>
              <w:rPr>
                <w:rFonts w:ascii="Arial" w:eastAsia="Times New Roman" w:hAnsi="Arial" w:cs="Arial"/>
                <w:kern w:val="0"/>
                <w14:ligatures w14:val="none"/>
              </w:rPr>
            </w:pPr>
          </w:p>
        </w:tc>
      </w:tr>
      <w:tr w:rsidR="00B93905" w14:paraId="4EEB22CE" w14:textId="77777777" w:rsidTr="00B8228F">
        <w:trPr>
          <w:jc w:val="center"/>
        </w:trPr>
        <w:tc>
          <w:tcPr>
            <w:tcW w:w="510" w:type="dxa"/>
          </w:tcPr>
          <w:p w14:paraId="0E1E1442" w14:textId="77777777" w:rsidR="00B93905" w:rsidRDefault="00B93905" w:rsidP="00B93905">
            <w:pPr>
              <w:spacing w:before="100" w:beforeAutospacing="1" w:after="100" w:afterAutospacing="1"/>
              <w:rPr>
                <w:rFonts w:ascii="Arial" w:eastAsia="Times New Roman" w:hAnsi="Arial" w:cs="Arial"/>
                <w:kern w:val="0"/>
                <w14:ligatures w14:val="none"/>
              </w:rPr>
            </w:pPr>
            <w:r>
              <w:rPr>
                <w:rFonts w:ascii="Arial" w:eastAsia="Times New Roman" w:hAnsi="Arial" w:cs="Arial"/>
                <w:kern w:val="0"/>
                <w14:ligatures w14:val="none"/>
              </w:rPr>
              <w:t>H</w:t>
            </w:r>
          </w:p>
        </w:tc>
        <w:tc>
          <w:tcPr>
            <w:tcW w:w="1069" w:type="dxa"/>
          </w:tcPr>
          <w:p w14:paraId="32FBE8CA" w14:textId="75D3CC44" w:rsidR="00B93905" w:rsidRDefault="00B93905" w:rsidP="00B93905">
            <w:pPr>
              <w:spacing w:before="100" w:beforeAutospacing="1" w:after="100" w:afterAutospacing="1"/>
              <w:jc w:val="center"/>
              <w:rPr>
                <w:rFonts w:ascii="Arial" w:eastAsia="Times New Roman" w:hAnsi="Arial" w:cs="Arial"/>
                <w:kern w:val="0"/>
                <w14:ligatures w14:val="none"/>
              </w:rPr>
            </w:pPr>
          </w:p>
        </w:tc>
        <w:tc>
          <w:tcPr>
            <w:tcW w:w="1069" w:type="dxa"/>
          </w:tcPr>
          <w:p w14:paraId="051E6BCC" w14:textId="77777777" w:rsidR="00B93905" w:rsidRDefault="00B93905" w:rsidP="00B93905">
            <w:pPr>
              <w:spacing w:before="100" w:beforeAutospacing="1" w:after="100" w:afterAutospacing="1"/>
              <w:jc w:val="center"/>
              <w:rPr>
                <w:rFonts w:ascii="Arial" w:eastAsia="Times New Roman" w:hAnsi="Arial" w:cs="Arial"/>
                <w:kern w:val="0"/>
                <w14:ligatures w14:val="none"/>
              </w:rPr>
            </w:pPr>
          </w:p>
        </w:tc>
        <w:tc>
          <w:tcPr>
            <w:tcW w:w="1069" w:type="dxa"/>
          </w:tcPr>
          <w:p w14:paraId="7B1A1F7D" w14:textId="77777777" w:rsidR="00B93905" w:rsidRDefault="00B93905" w:rsidP="00B93905">
            <w:pPr>
              <w:spacing w:before="100" w:beforeAutospacing="1" w:after="100" w:afterAutospacing="1"/>
              <w:jc w:val="center"/>
              <w:rPr>
                <w:rFonts w:ascii="Arial" w:eastAsia="Times New Roman" w:hAnsi="Arial" w:cs="Arial"/>
                <w:kern w:val="0"/>
                <w14:ligatures w14:val="none"/>
              </w:rPr>
            </w:pPr>
          </w:p>
        </w:tc>
        <w:tc>
          <w:tcPr>
            <w:tcW w:w="1069" w:type="dxa"/>
          </w:tcPr>
          <w:p w14:paraId="3436E8F6" w14:textId="77777777" w:rsidR="00B93905" w:rsidRDefault="00B93905" w:rsidP="00B93905">
            <w:pPr>
              <w:spacing w:before="100" w:beforeAutospacing="1" w:after="100" w:afterAutospacing="1"/>
              <w:jc w:val="center"/>
              <w:rPr>
                <w:rFonts w:ascii="Arial" w:eastAsia="Times New Roman" w:hAnsi="Arial" w:cs="Arial"/>
                <w:kern w:val="0"/>
                <w14:ligatures w14:val="none"/>
              </w:rPr>
            </w:pPr>
          </w:p>
        </w:tc>
        <w:tc>
          <w:tcPr>
            <w:tcW w:w="1069" w:type="dxa"/>
          </w:tcPr>
          <w:p w14:paraId="3993E43C" w14:textId="77777777" w:rsidR="00B93905" w:rsidRDefault="00B93905" w:rsidP="00B93905">
            <w:pPr>
              <w:spacing w:before="100" w:beforeAutospacing="1" w:after="100" w:afterAutospacing="1"/>
              <w:jc w:val="center"/>
              <w:rPr>
                <w:rFonts w:ascii="Arial" w:eastAsia="Times New Roman" w:hAnsi="Arial" w:cs="Arial"/>
                <w:kern w:val="0"/>
                <w14:ligatures w14:val="none"/>
              </w:rPr>
            </w:pPr>
          </w:p>
        </w:tc>
        <w:tc>
          <w:tcPr>
            <w:tcW w:w="1070" w:type="dxa"/>
          </w:tcPr>
          <w:p w14:paraId="79A7947B" w14:textId="77777777" w:rsidR="00B93905" w:rsidRDefault="00B93905" w:rsidP="00B93905">
            <w:pPr>
              <w:spacing w:before="100" w:beforeAutospacing="1" w:after="100" w:afterAutospacing="1"/>
              <w:jc w:val="center"/>
              <w:rPr>
                <w:rFonts w:ascii="Arial" w:eastAsia="Times New Roman" w:hAnsi="Arial" w:cs="Arial"/>
                <w:kern w:val="0"/>
                <w14:ligatures w14:val="none"/>
              </w:rPr>
            </w:pPr>
          </w:p>
        </w:tc>
        <w:tc>
          <w:tcPr>
            <w:tcW w:w="485" w:type="dxa"/>
          </w:tcPr>
          <w:p w14:paraId="2CF825DA" w14:textId="77777777" w:rsidR="00B93905" w:rsidRDefault="00B93905" w:rsidP="00B93905">
            <w:pPr>
              <w:spacing w:before="100" w:beforeAutospacing="1" w:after="100" w:afterAutospacing="1"/>
              <w:jc w:val="center"/>
              <w:rPr>
                <w:rFonts w:ascii="Arial" w:eastAsia="Times New Roman" w:hAnsi="Arial" w:cs="Arial"/>
                <w:kern w:val="0"/>
                <w14:ligatures w14:val="none"/>
              </w:rPr>
            </w:pPr>
          </w:p>
        </w:tc>
        <w:tc>
          <w:tcPr>
            <w:tcW w:w="485" w:type="dxa"/>
          </w:tcPr>
          <w:p w14:paraId="46D0D6B7" w14:textId="77777777" w:rsidR="00B93905" w:rsidRDefault="00B93905" w:rsidP="00B93905">
            <w:pPr>
              <w:spacing w:before="100" w:beforeAutospacing="1" w:after="100" w:afterAutospacing="1"/>
              <w:jc w:val="center"/>
              <w:rPr>
                <w:rFonts w:ascii="Arial" w:eastAsia="Times New Roman" w:hAnsi="Arial" w:cs="Arial"/>
                <w:kern w:val="0"/>
                <w14:ligatures w14:val="none"/>
              </w:rPr>
            </w:pPr>
          </w:p>
        </w:tc>
        <w:tc>
          <w:tcPr>
            <w:tcW w:w="485" w:type="dxa"/>
          </w:tcPr>
          <w:p w14:paraId="54C9FF00" w14:textId="77777777" w:rsidR="00B93905" w:rsidRDefault="00B93905" w:rsidP="00B93905">
            <w:pPr>
              <w:spacing w:before="100" w:beforeAutospacing="1" w:after="100" w:afterAutospacing="1"/>
              <w:jc w:val="center"/>
              <w:rPr>
                <w:rFonts w:ascii="Arial" w:eastAsia="Times New Roman" w:hAnsi="Arial" w:cs="Arial"/>
                <w:kern w:val="0"/>
                <w14:ligatures w14:val="none"/>
              </w:rPr>
            </w:pPr>
          </w:p>
        </w:tc>
        <w:tc>
          <w:tcPr>
            <w:tcW w:w="485" w:type="dxa"/>
          </w:tcPr>
          <w:p w14:paraId="644878A4" w14:textId="77777777" w:rsidR="00B93905" w:rsidRDefault="00B93905" w:rsidP="00B93905">
            <w:pPr>
              <w:spacing w:before="100" w:beforeAutospacing="1" w:after="100" w:afterAutospacing="1"/>
              <w:jc w:val="center"/>
              <w:rPr>
                <w:rFonts w:ascii="Arial" w:eastAsia="Times New Roman" w:hAnsi="Arial" w:cs="Arial"/>
                <w:kern w:val="0"/>
                <w14:ligatures w14:val="none"/>
              </w:rPr>
            </w:pPr>
          </w:p>
        </w:tc>
        <w:tc>
          <w:tcPr>
            <w:tcW w:w="485" w:type="dxa"/>
          </w:tcPr>
          <w:p w14:paraId="4B491D05" w14:textId="77777777" w:rsidR="00B93905" w:rsidRDefault="00B93905" w:rsidP="00B93905">
            <w:pPr>
              <w:spacing w:before="100" w:beforeAutospacing="1" w:after="100" w:afterAutospacing="1"/>
              <w:rPr>
                <w:rFonts w:ascii="Arial" w:eastAsia="Times New Roman" w:hAnsi="Arial" w:cs="Arial"/>
                <w:kern w:val="0"/>
                <w14:ligatures w14:val="none"/>
              </w:rPr>
            </w:pPr>
          </w:p>
        </w:tc>
      </w:tr>
    </w:tbl>
    <w:p w14:paraId="7B4A7067" w14:textId="4AE8B9C7" w:rsidR="00066C37" w:rsidRDefault="00066C37" w:rsidP="000B3929">
      <w:pPr>
        <w:rPr>
          <w:rFonts w:ascii="Arial" w:hAnsi="Arial" w:cs="Arial"/>
        </w:rPr>
      </w:pPr>
      <w:r>
        <w:rPr>
          <w:rFonts w:ascii="Arial" w:hAnsi="Arial" w:cs="Arial"/>
        </w:rPr>
        <w:t>This hypothetical data was generated</w:t>
      </w:r>
      <w:r w:rsidR="00B93905">
        <w:rPr>
          <w:rFonts w:ascii="Arial" w:hAnsi="Arial" w:cs="Arial"/>
        </w:rPr>
        <w:t xml:space="preserve"> and is not a reflection of a real experiment. It should not be cited, used, or interpreted in anyway. It is solely for a training exercise. </w:t>
      </w:r>
    </w:p>
    <w:p w14:paraId="1AB5A324" w14:textId="77777777" w:rsidR="001219ED" w:rsidRDefault="001219ED" w:rsidP="000B3929">
      <w:pPr>
        <w:rPr>
          <w:rFonts w:ascii="Arial" w:hAnsi="Arial" w:cs="Arial"/>
        </w:rPr>
      </w:pPr>
    </w:p>
    <w:p w14:paraId="526367C9" w14:textId="53D79FED" w:rsidR="001219ED" w:rsidRDefault="00D93F62" w:rsidP="000B3929">
      <w:pPr>
        <w:rPr>
          <w:rFonts w:ascii="Arial" w:hAnsi="Arial" w:cs="Arial"/>
        </w:rPr>
      </w:pPr>
      <w:r>
        <w:rPr>
          <w:rFonts w:ascii="Arial" w:hAnsi="Arial" w:cs="Arial"/>
          <w:b/>
          <w:bCs/>
          <w:noProof/>
        </w:rPr>
        <w:lastRenderedPageBreak/>
        <w:drawing>
          <wp:inline distT="0" distB="0" distL="0" distR="0" wp14:anchorId="121F1D6B" wp14:editId="4EB84EF0">
            <wp:extent cx="2857500" cy="3619500"/>
            <wp:effectExtent l="0" t="0" r="0" b="0"/>
            <wp:docPr id="144715592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155926" name="Picture 1447155926"/>
                    <pic:cNvPicPr/>
                  </pic:nvPicPr>
                  <pic:blipFill>
                    <a:blip r:embed="rId5">
                      <a:extLst>
                        <a:ext uri="{28A0092B-C50C-407E-A947-70E740481C1C}">
                          <a14:useLocalDpi xmlns:a14="http://schemas.microsoft.com/office/drawing/2010/main" val="0"/>
                        </a:ext>
                      </a:extLst>
                    </a:blip>
                    <a:stretch>
                      <a:fillRect/>
                    </a:stretch>
                  </pic:blipFill>
                  <pic:spPr>
                    <a:xfrm>
                      <a:off x="0" y="0"/>
                      <a:ext cx="2857500" cy="3619500"/>
                    </a:xfrm>
                    <a:prstGeom prst="rect">
                      <a:avLst/>
                    </a:prstGeom>
                  </pic:spPr>
                </pic:pic>
              </a:graphicData>
            </a:graphic>
          </wp:inline>
        </w:drawing>
      </w:r>
    </w:p>
    <w:p w14:paraId="7E07814C" w14:textId="77777777" w:rsidR="00D93F62" w:rsidRDefault="001219ED" w:rsidP="000B3929">
      <w:pPr>
        <w:rPr>
          <w:rFonts w:ascii="Arial" w:hAnsi="Arial" w:cs="Arial"/>
        </w:rPr>
      </w:pPr>
      <w:r>
        <w:rPr>
          <w:rFonts w:ascii="Arial" w:hAnsi="Arial" w:cs="Arial"/>
          <w:b/>
          <w:bCs/>
        </w:rPr>
        <w:t xml:space="preserve">Figure 1. </w:t>
      </w:r>
      <w:r>
        <w:rPr>
          <w:rFonts w:ascii="Arial" w:hAnsi="Arial" w:cs="Arial"/>
        </w:rPr>
        <w:t xml:space="preserve">Example viability data from hypothetical experiment. Data represents </w:t>
      </w:r>
    </w:p>
    <w:p w14:paraId="73831057" w14:textId="618F8BBA" w:rsidR="001219ED" w:rsidRPr="001219ED" w:rsidRDefault="001219ED" w:rsidP="000B3929">
      <w:pPr>
        <w:rPr>
          <w:rFonts w:ascii="Arial" w:hAnsi="Arial" w:cs="Arial"/>
        </w:rPr>
      </w:pPr>
      <w:proofErr w:type="spellStart"/>
      <w:r>
        <w:rPr>
          <w:rFonts w:ascii="Arial" w:hAnsi="Arial" w:cs="Arial"/>
        </w:rPr>
        <w:t>Abs</w:t>
      </w:r>
      <w:r>
        <w:rPr>
          <w:rFonts w:ascii="Arial" w:hAnsi="Arial" w:cs="Arial"/>
          <w:vertAlign w:val="subscript"/>
        </w:rPr>
        <w:t>sample</w:t>
      </w:r>
      <w:proofErr w:type="spellEnd"/>
      <w:r w:rsidR="00D93F62">
        <w:rPr>
          <w:rFonts w:ascii="Arial" w:hAnsi="Arial" w:cs="Arial"/>
          <w:vertAlign w:val="subscript"/>
        </w:rPr>
        <w:t xml:space="preserve"> </w:t>
      </w:r>
      <w:r>
        <w:rPr>
          <w:rFonts w:ascii="Arial" w:hAnsi="Arial" w:cs="Arial"/>
        </w:rPr>
        <w:t>/</w:t>
      </w:r>
      <w:proofErr w:type="gramStart"/>
      <w:r>
        <w:rPr>
          <w:rFonts w:ascii="Arial" w:hAnsi="Arial" w:cs="Arial"/>
        </w:rPr>
        <w:t>Average(</w:t>
      </w:r>
      <w:proofErr w:type="gramEnd"/>
      <w:r>
        <w:rPr>
          <w:rFonts w:ascii="Arial" w:hAnsi="Arial" w:cs="Arial"/>
        </w:rPr>
        <w:t>Abs</w:t>
      </w:r>
      <w:r w:rsidRPr="001219ED">
        <w:rPr>
          <w:rFonts w:ascii="Arial" w:hAnsi="Arial" w:cs="Arial"/>
          <w:vertAlign w:val="subscript"/>
        </w:rPr>
        <w:t>Sample2</w:t>
      </w:r>
      <w:r>
        <w:rPr>
          <w:rFonts w:ascii="Arial" w:hAnsi="Arial" w:cs="Arial"/>
        </w:rPr>
        <w:t>) * 100%</w:t>
      </w:r>
    </w:p>
    <w:p w14:paraId="56ECAD82" w14:textId="77777777" w:rsidR="000B3929" w:rsidRDefault="000B3929">
      <w:pPr>
        <w:rPr>
          <w:rFonts w:ascii="Arial" w:hAnsi="Arial" w:cs="Arial"/>
          <w:b/>
          <w:bCs/>
        </w:rPr>
      </w:pPr>
    </w:p>
    <w:p w14:paraId="53DBD29C" w14:textId="3F51B9C6" w:rsidR="000B3929" w:rsidRDefault="000B3929">
      <w:pPr>
        <w:rPr>
          <w:rFonts w:ascii="Arial" w:hAnsi="Arial" w:cs="Arial"/>
          <w:b/>
          <w:bCs/>
        </w:rPr>
      </w:pPr>
      <w:r>
        <w:rPr>
          <w:rFonts w:ascii="Arial" w:hAnsi="Arial" w:cs="Arial"/>
          <w:b/>
          <w:bCs/>
        </w:rPr>
        <w:t>Details:</w:t>
      </w:r>
    </w:p>
    <w:p w14:paraId="5185AD63" w14:textId="23E2DFD7" w:rsidR="000B3929" w:rsidRPr="00D93F62" w:rsidRDefault="000B3929" w:rsidP="00D93F62">
      <w:pPr>
        <w:numPr>
          <w:ilvl w:val="0"/>
          <w:numId w:val="11"/>
        </w:numPr>
        <w:spacing w:before="100" w:beforeAutospacing="1" w:after="100" w:afterAutospacing="1"/>
        <w:rPr>
          <w:rFonts w:ascii="Arial" w:eastAsia="Times New Roman" w:hAnsi="Arial" w:cs="Arial"/>
          <w:kern w:val="0"/>
          <w14:ligatures w14:val="none"/>
        </w:rPr>
      </w:pPr>
      <w:r w:rsidRPr="00AE0AEC">
        <w:rPr>
          <w:rFonts w:ascii="Arial" w:eastAsia="Times New Roman" w:hAnsi="Arial" w:cs="Arial"/>
          <w:kern w:val="0"/>
          <w14:ligatures w14:val="none"/>
        </w:rPr>
        <w:t>MTT is stable in PBS in fridge for 1 month</w:t>
      </w:r>
      <w:r w:rsidRPr="00D93F62">
        <w:rPr>
          <w:rFonts w:ascii="Arial" w:eastAsia="Times New Roman" w:hAnsi="Arial" w:cs="Arial"/>
          <w:kern w:val="0"/>
          <w14:ligatures w14:val="none"/>
        </w:rPr>
        <w:t>.</w:t>
      </w:r>
      <w:r w:rsidR="00D93F62">
        <w:rPr>
          <w:rFonts w:ascii="Arial" w:eastAsia="Times New Roman" w:hAnsi="Arial" w:cs="Arial"/>
          <w:kern w:val="0"/>
          <w14:ligatures w14:val="none"/>
        </w:rPr>
        <w:t xml:space="preserve"> This </w:t>
      </w:r>
      <w:proofErr w:type="gramStart"/>
      <w:r w:rsidR="00D93F62">
        <w:rPr>
          <w:rFonts w:ascii="Arial" w:eastAsia="Times New Roman" w:hAnsi="Arial" w:cs="Arial"/>
          <w:kern w:val="0"/>
          <w14:ligatures w14:val="none"/>
        </w:rPr>
        <w:t>particular aliquot</w:t>
      </w:r>
      <w:proofErr w:type="gramEnd"/>
      <w:r w:rsidR="00D93F62">
        <w:rPr>
          <w:rFonts w:ascii="Arial" w:eastAsia="Times New Roman" w:hAnsi="Arial" w:cs="Arial"/>
          <w:kern w:val="0"/>
          <w14:ligatures w14:val="none"/>
        </w:rPr>
        <w:t xml:space="preserve"> appeared to be new; however, it was </w:t>
      </w:r>
      <w:r w:rsidR="000A0E9D">
        <w:rPr>
          <w:rFonts w:ascii="Arial" w:eastAsia="Times New Roman" w:hAnsi="Arial" w:cs="Arial"/>
          <w:kern w:val="0"/>
          <w14:ligatures w14:val="none"/>
        </w:rPr>
        <w:t>undated.</w:t>
      </w:r>
    </w:p>
    <w:p w14:paraId="63D73128" w14:textId="14CA29ED" w:rsidR="000B3929" w:rsidRPr="000B3929" w:rsidRDefault="000B3929" w:rsidP="000B3929">
      <w:pPr>
        <w:numPr>
          <w:ilvl w:val="0"/>
          <w:numId w:val="11"/>
        </w:numPr>
        <w:spacing w:before="100" w:beforeAutospacing="1" w:after="100" w:afterAutospacing="1"/>
        <w:rPr>
          <w:rFonts w:ascii="Arial" w:eastAsia="Times New Roman" w:hAnsi="Arial" w:cs="Arial"/>
          <w:kern w:val="0"/>
          <w14:ligatures w14:val="none"/>
        </w:rPr>
      </w:pPr>
      <w:r>
        <w:rPr>
          <w:rFonts w:ascii="Arial" w:eastAsia="Times New Roman" w:hAnsi="Arial" w:cs="Arial"/>
          <w:kern w:val="0"/>
          <w14:ligatures w14:val="none"/>
        </w:rPr>
        <w:t>The cells used were passaged to passage 7 before use</w:t>
      </w:r>
    </w:p>
    <w:p w14:paraId="3DDBC5B4" w14:textId="77777777" w:rsidR="00066C37" w:rsidRDefault="00066C37">
      <w:pPr>
        <w:rPr>
          <w:rFonts w:ascii="Arial" w:hAnsi="Arial" w:cs="Arial"/>
        </w:rPr>
      </w:pPr>
    </w:p>
    <w:p w14:paraId="13CC2C45" w14:textId="1ACB1C6C" w:rsidR="00066C37" w:rsidRDefault="00066C37">
      <w:pPr>
        <w:rPr>
          <w:rFonts w:ascii="Arial" w:hAnsi="Arial" w:cs="Arial"/>
          <w:b/>
          <w:bCs/>
        </w:rPr>
      </w:pPr>
      <w:r>
        <w:rPr>
          <w:rFonts w:ascii="Arial" w:hAnsi="Arial" w:cs="Arial"/>
          <w:b/>
          <w:bCs/>
        </w:rPr>
        <w:t>Source of error:</w:t>
      </w:r>
    </w:p>
    <w:p w14:paraId="5E0F1ACB" w14:textId="23002022" w:rsidR="00066C37" w:rsidRDefault="001219ED">
      <w:pPr>
        <w:rPr>
          <w:rFonts w:ascii="Arial" w:hAnsi="Arial" w:cs="Arial"/>
        </w:rPr>
      </w:pPr>
      <w:r>
        <w:rPr>
          <w:rFonts w:ascii="Arial" w:hAnsi="Arial" w:cs="Arial"/>
        </w:rPr>
        <w:t xml:space="preserve">When aspirating off the supernatant in step 11, if the </w:t>
      </w:r>
      <w:r w:rsidR="00AB4245">
        <w:rPr>
          <w:rFonts w:ascii="Arial" w:hAnsi="Arial" w:cs="Arial"/>
        </w:rPr>
        <w:t>t</w:t>
      </w:r>
      <w:r>
        <w:rPr>
          <w:rFonts w:ascii="Arial" w:hAnsi="Arial" w:cs="Arial"/>
        </w:rPr>
        <w:t>ip touches the bottom of the well plate. In doing so, the delicate cells are aspirated with the supernatant creating inconsistent cel</w:t>
      </w:r>
      <w:r w:rsidR="00D93F62">
        <w:rPr>
          <w:rFonts w:ascii="Arial" w:hAnsi="Arial" w:cs="Arial"/>
        </w:rPr>
        <w:t xml:space="preserve">l densities throughout the experiment. This creates inconsistencies with the entirety of the experiment because essentially each well was run at a different density. </w:t>
      </w:r>
    </w:p>
    <w:p w14:paraId="33723996" w14:textId="77777777" w:rsidR="00AB4245" w:rsidRDefault="00AB4245">
      <w:pPr>
        <w:rPr>
          <w:rFonts w:ascii="Arial" w:hAnsi="Arial" w:cs="Arial"/>
        </w:rPr>
      </w:pPr>
    </w:p>
    <w:p w14:paraId="569EE55F" w14:textId="77777777" w:rsidR="00AB4245" w:rsidRDefault="00AB4245" w:rsidP="00AB4245">
      <w:pPr>
        <w:rPr>
          <w:rFonts w:ascii="Arial" w:hAnsi="Arial" w:cs="Arial"/>
        </w:rPr>
      </w:pPr>
    </w:p>
    <w:p w14:paraId="62547872" w14:textId="77777777" w:rsidR="00874667" w:rsidRDefault="00874667">
      <w:pPr>
        <w:rPr>
          <w:rFonts w:ascii="Arial" w:hAnsi="Arial" w:cs="Arial"/>
          <w:b/>
          <w:bCs/>
        </w:rPr>
      </w:pPr>
      <w:r>
        <w:rPr>
          <w:rFonts w:ascii="Arial" w:hAnsi="Arial" w:cs="Arial"/>
          <w:b/>
          <w:bCs/>
        </w:rPr>
        <w:br w:type="page"/>
      </w:r>
    </w:p>
    <w:p w14:paraId="28D253DE" w14:textId="4A19FEE5" w:rsidR="00AB4245" w:rsidRPr="00AB4245" w:rsidRDefault="00AB4245" w:rsidP="00AB4245">
      <w:pPr>
        <w:rPr>
          <w:rFonts w:ascii="Arial" w:hAnsi="Arial" w:cs="Arial"/>
        </w:rPr>
      </w:pPr>
      <w:r>
        <w:rPr>
          <w:rFonts w:ascii="Arial" w:hAnsi="Arial" w:cs="Arial"/>
          <w:b/>
          <w:bCs/>
        </w:rPr>
        <w:lastRenderedPageBreak/>
        <w:t xml:space="preserve">Table 1. </w:t>
      </w:r>
      <w:r>
        <w:rPr>
          <w:rFonts w:ascii="Arial" w:hAnsi="Arial" w:cs="Arial"/>
        </w:rPr>
        <w:t>Additional information known by the leader that can be provided upon request</w:t>
      </w:r>
    </w:p>
    <w:tbl>
      <w:tblPr>
        <w:tblStyle w:val="TableGrid"/>
        <w:tblW w:w="0" w:type="auto"/>
        <w:tblLook w:val="04A0" w:firstRow="1" w:lastRow="0" w:firstColumn="1" w:lastColumn="0" w:noHBand="0" w:noVBand="1"/>
      </w:tblPr>
      <w:tblGrid>
        <w:gridCol w:w="2335"/>
        <w:gridCol w:w="7015"/>
      </w:tblGrid>
      <w:tr w:rsidR="00AB4245" w14:paraId="0FB11848" w14:textId="77777777" w:rsidTr="00CA7CA4">
        <w:tc>
          <w:tcPr>
            <w:tcW w:w="9350" w:type="dxa"/>
            <w:gridSpan w:val="2"/>
            <w:shd w:val="clear" w:color="auto" w:fill="D1D1D1" w:themeFill="background2" w:themeFillShade="E6"/>
          </w:tcPr>
          <w:p w14:paraId="3CFD68FD" w14:textId="77777777" w:rsidR="00AB4245" w:rsidRDefault="00AB4245" w:rsidP="00CA7CA4">
            <w:pPr>
              <w:jc w:val="center"/>
              <w:rPr>
                <w:rFonts w:ascii="Arial" w:hAnsi="Arial" w:cs="Arial"/>
                <w:b/>
                <w:bCs/>
              </w:rPr>
            </w:pPr>
            <w:r>
              <w:rPr>
                <w:rFonts w:ascii="Arial" w:hAnsi="Arial" w:cs="Arial"/>
                <w:b/>
                <w:bCs/>
              </w:rPr>
              <w:t>Meeting Notes</w:t>
            </w:r>
            <w:r w:rsidR="005C7D54">
              <w:rPr>
                <w:rFonts w:ascii="Arial" w:hAnsi="Arial" w:cs="Arial"/>
                <w:b/>
                <w:bCs/>
              </w:rPr>
              <w:t xml:space="preserve"> for the Leader</w:t>
            </w:r>
          </w:p>
          <w:p w14:paraId="27E823C6" w14:textId="4F614B78" w:rsidR="005C7D54" w:rsidRPr="005C7D54" w:rsidRDefault="005C7D54" w:rsidP="00CA7CA4">
            <w:pPr>
              <w:jc w:val="center"/>
              <w:rPr>
                <w:rFonts w:ascii="Arial" w:hAnsi="Arial" w:cs="Arial"/>
              </w:rPr>
            </w:pPr>
            <w:r>
              <w:rPr>
                <w:rFonts w:ascii="Arial" w:hAnsi="Arial" w:cs="Arial"/>
              </w:rPr>
              <w:t>Not to be shared with the group</w:t>
            </w:r>
          </w:p>
        </w:tc>
      </w:tr>
      <w:tr w:rsidR="00AB4245" w14:paraId="284FC0B4" w14:textId="77777777" w:rsidTr="00AB4245">
        <w:tc>
          <w:tcPr>
            <w:tcW w:w="2335" w:type="dxa"/>
          </w:tcPr>
          <w:p w14:paraId="17FD4239" w14:textId="15A5E4B1" w:rsidR="00AB4245" w:rsidRDefault="00AB4245" w:rsidP="00CA7CA4">
            <w:pPr>
              <w:rPr>
                <w:rFonts w:ascii="Arial" w:hAnsi="Arial" w:cs="Arial"/>
              </w:rPr>
            </w:pPr>
            <w:r>
              <w:rPr>
                <w:rFonts w:ascii="Arial" w:hAnsi="Arial" w:cs="Arial"/>
              </w:rPr>
              <w:t xml:space="preserve">Other researcher’s experiments </w:t>
            </w:r>
          </w:p>
        </w:tc>
        <w:tc>
          <w:tcPr>
            <w:tcW w:w="7015" w:type="dxa"/>
          </w:tcPr>
          <w:p w14:paraId="14311313" w14:textId="77777777" w:rsidR="00AB4245" w:rsidRDefault="00AB4245" w:rsidP="00AB4245">
            <w:pPr>
              <w:pStyle w:val="ListParagraph"/>
              <w:numPr>
                <w:ilvl w:val="0"/>
                <w:numId w:val="14"/>
              </w:numPr>
              <w:rPr>
                <w:rFonts w:ascii="Arial" w:hAnsi="Arial" w:cs="Arial"/>
              </w:rPr>
            </w:pPr>
            <w:r>
              <w:rPr>
                <w:rFonts w:ascii="Arial" w:hAnsi="Arial" w:cs="Arial"/>
              </w:rPr>
              <w:t>Other researchers are sharing the biosafety cabinets</w:t>
            </w:r>
          </w:p>
          <w:p w14:paraId="676CBBBC" w14:textId="77777777" w:rsidR="00AB4245" w:rsidRDefault="00AB4245" w:rsidP="00AB4245">
            <w:pPr>
              <w:pStyle w:val="ListParagraph"/>
              <w:numPr>
                <w:ilvl w:val="0"/>
                <w:numId w:val="14"/>
              </w:numPr>
              <w:rPr>
                <w:rFonts w:ascii="Arial" w:hAnsi="Arial" w:cs="Arial"/>
              </w:rPr>
            </w:pPr>
            <w:r>
              <w:rPr>
                <w:rFonts w:ascii="Arial" w:hAnsi="Arial" w:cs="Arial"/>
              </w:rPr>
              <w:t>The SH-SY5Y cells are not being cultured by anyone else</w:t>
            </w:r>
          </w:p>
          <w:p w14:paraId="4403AF2A" w14:textId="77777777" w:rsidR="00AB4245" w:rsidRDefault="00AB4245" w:rsidP="00AB4245">
            <w:pPr>
              <w:pStyle w:val="ListParagraph"/>
              <w:numPr>
                <w:ilvl w:val="0"/>
                <w:numId w:val="14"/>
              </w:numPr>
              <w:rPr>
                <w:rFonts w:ascii="Arial" w:hAnsi="Arial" w:cs="Arial"/>
              </w:rPr>
            </w:pPr>
            <w:r>
              <w:rPr>
                <w:rFonts w:ascii="Arial" w:hAnsi="Arial" w:cs="Arial"/>
              </w:rPr>
              <w:t>There was a bacterial infection in an incubator one lab space over</w:t>
            </w:r>
          </w:p>
          <w:p w14:paraId="69E243CB" w14:textId="2AD412FF" w:rsidR="005C7D54" w:rsidRPr="00AB4245" w:rsidRDefault="005C7D54" w:rsidP="00AB4245">
            <w:pPr>
              <w:pStyle w:val="ListParagraph"/>
              <w:numPr>
                <w:ilvl w:val="0"/>
                <w:numId w:val="14"/>
              </w:numPr>
              <w:rPr>
                <w:rFonts w:ascii="Arial" w:hAnsi="Arial" w:cs="Arial"/>
              </w:rPr>
            </w:pPr>
            <w:r>
              <w:rPr>
                <w:rFonts w:ascii="Arial" w:hAnsi="Arial" w:cs="Arial"/>
              </w:rPr>
              <w:t>Another researcher ran an MTT assay 2 months ago, and had smaller error bars, and more reasonable results</w:t>
            </w:r>
          </w:p>
        </w:tc>
      </w:tr>
      <w:tr w:rsidR="00AB4245" w14:paraId="1F617C44" w14:textId="77777777" w:rsidTr="00AB4245">
        <w:tc>
          <w:tcPr>
            <w:tcW w:w="2335" w:type="dxa"/>
          </w:tcPr>
          <w:p w14:paraId="16A079D5" w14:textId="25CF0F53" w:rsidR="00AB4245" w:rsidRDefault="00AB4245" w:rsidP="00CA7CA4">
            <w:pPr>
              <w:rPr>
                <w:rFonts w:ascii="Arial" w:hAnsi="Arial" w:cs="Arial"/>
              </w:rPr>
            </w:pPr>
            <w:r>
              <w:rPr>
                <w:rFonts w:ascii="Arial" w:hAnsi="Arial" w:cs="Arial"/>
              </w:rPr>
              <w:t>Storage information</w:t>
            </w:r>
          </w:p>
        </w:tc>
        <w:tc>
          <w:tcPr>
            <w:tcW w:w="7015" w:type="dxa"/>
          </w:tcPr>
          <w:p w14:paraId="5C6DC73E" w14:textId="77777777" w:rsidR="00AB4245" w:rsidRDefault="00AB4245" w:rsidP="00AB4245">
            <w:pPr>
              <w:pStyle w:val="ListParagraph"/>
              <w:numPr>
                <w:ilvl w:val="0"/>
                <w:numId w:val="15"/>
              </w:numPr>
              <w:rPr>
                <w:rFonts w:ascii="Arial" w:hAnsi="Arial" w:cs="Arial"/>
              </w:rPr>
            </w:pPr>
            <w:r>
              <w:rPr>
                <w:rFonts w:ascii="Arial" w:hAnsi="Arial" w:cs="Arial"/>
              </w:rPr>
              <w:t>The media F12 and EMEM are 2 weeks old, and freshly aliquoted</w:t>
            </w:r>
          </w:p>
          <w:p w14:paraId="00AA5C36" w14:textId="77777777" w:rsidR="00AB4245" w:rsidRDefault="00AB4245" w:rsidP="00AB4245">
            <w:pPr>
              <w:pStyle w:val="ListParagraph"/>
              <w:numPr>
                <w:ilvl w:val="0"/>
                <w:numId w:val="15"/>
              </w:numPr>
              <w:rPr>
                <w:rFonts w:ascii="Arial" w:hAnsi="Arial" w:cs="Arial"/>
              </w:rPr>
            </w:pPr>
            <w:r>
              <w:rPr>
                <w:rFonts w:ascii="Arial" w:hAnsi="Arial" w:cs="Arial"/>
              </w:rPr>
              <w:t xml:space="preserve">The MTT appears new but was </w:t>
            </w:r>
            <w:proofErr w:type="spellStart"/>
            <w:r>
              <w:rPr>
                <w:rFonts w:ascii="Arial" w:hAnsi="Arial" w:cs="Arial"/>
              </w:rPr>
              <w:t>unlabelled</w:t>
            </w:r>
            <w:proofErr w:type="spellEnd"/>
          </w:p>
          <w:p w14:paraId="256E9BF3" w14:textId="0415C42A" w:rsidR="00AB4245" w:rsidRPr="00AB4245" w:rsidRDefault="00AB4245" w:rsidP="00AB4245">
            <w:pPr>
              <w:pStyle w:val="ListParagraph"/>
              <w:numPr>
                <w:ilvl w:val="0"/>
                <w:numId w:val="15"/>
              </w:numPr>
              <w:rPr>
                <w:rFonts w:ascii="Arial" w:hAnsi="Arial" w:cs="Arial"/>
              </w:rPr>
            </w:pPr>
            <w:r>
              <w:rPr>
                <w:rFonts w:ascii="Arial" w:hAnsi="Arial" w:cs="Arial"/>
              </w:rPr>
              <w:t>The PBS was opened fresh before the experiment</w:t>
            </w:r>
          </w:p>
        </w:tc>
      </w:tr>
      <w:tr w:rsidR="00AB4245" w14:paraId="69D2FD57" w14:textId="77777777" w:rsidTr="00AB4245">
        <w:tc>
          <w:tcPr>
            <w:tcW w:w="2335" w:type="dxa"/>
          </w:tcPr>
          <w:p w14:paraId="79E8FF03" w14:textId="6E1E505A" w:rsidR="00AB4245" w:rsidRDefault="00AB4245" w:rsidP="00CA7CA4">
            <w:pPr>
              <w:rPr>
                <w:rFonts w:ascii="Arial" w:hAnsi="Arial" w:cs="Arial"/>
              </w:rPr>
            </w:pPr>
            <w:r>
              <w:rPr>
                <w:rFonts w:ascii="Arial" w:hAnsi="Arial" w:cs="Arial"/>
              </w:rPr>
              <w:t>Protein information</w:t>
            </w:r>
          </w:p>
        </w:tc>
        <w:tc>
          <w:tcPr>
            <w:tcW w:w="7015" w:type="dxa"/>
          </w:tcPr>
          <w:p w14:paraId="65672F84" w14:textId="77777777" w:rsidR="00AB4245" w:rsidRDefault="00AB4245" w:rsidP="00AB4245">
            <w:pPr>
              <w:pStyle w:val="ListParagraph"/>
              <w:numPr>
                <w:ilvl w:val="0"/>
                <w:numId w:val="15"/>
              </w:numPr>
              <w:rPr>
                <w:rFonts w:ascii="Arial" w:hAnsi="Arial" w:cs="Arial"/>
              </w:rPr>
            </w:pPr>
            <w:r w:rsidRPr="00AB4245">
              <w:rPr>
                <w:rFonts w:ascii="Arial" w:hAnsi="Arial" w:cs="Arial"/>
              </w:rPr>
              <w:t>The concentration of the protein aggregate</w:t>
            </w:r>
            <w:r>
              <w:rPr>
                <w:rFonts w:ascii="Arial" w:hAnsi="Arial" w:cs="Arial"/>
              </w:rPr>
              <w:t xml:space="preserve"> was determined via Bradford assay</w:t>
            </w:r>
          </w:p>
          <w:p w14:paraId="7A8C0CC6" w14:textId="7250662B" w:rsidR="00AB4245" w:rsidRPr="00AB4245" w:rsidRDefault="00AB4245" w:rsidP="00AB4245">
            <w:pPr>
              <w:pStyle w:val="ListParagraph"/>
              <w:numPr>
                <w:ilvl w:val="0"/>
                <w:numId w:val="15"/>
              </w:numPr>
              <w:rPr>
                <w:rFonts w:ascii="Arial" w:hAnsi="Arial" w:cs="Arial"/>
              </w:rPr>
            </w:pPr>
            <w:r>
              <w:rPr>
                <w:rFonts w:ascii="Arial" w:hAnsi="Arial" w:cs="Arial"/>
              </w:rPr>
              <w:t xml:space="preserve">The protein is expressed and purified from a recombinant strain of </w:t>
            </w:r>
            <w:r>
              <w:rPr>
                <w:rFonts w:ascii="Arial" w:hAnsi="Arial" w:cs="Arial"/>
                <w:i/>
                <w:iCs/>
              </w:rPr>
              <w:t>E. coli</w:t>
            </w:r>
          </w:p>
        </w:tc>
      </w:tr>
      <w:tr w:rsidR="00AB4245" w14:paraId="250640F5" w14:textId="77777777" w:rsidTr="00AB4245">
        <w:tc>
          <w:tcPr>
            <w:tcW w:w="2335" w:type="dxa"/>
          </w:tcPr>
          <w:p w14:paraId="5E4DE4B8" w14:textId="525C696C" w:rsidR="00AB4245" w:rsidRDefault="00AB4245" w:rsidP="00CA7CA4">
            <w:pPr>
              <w:rPr>
                <w:rFonts w:ascii="Arial" w:hAnsi="Arial" w:cs="Arial"/>
              </w:rPr>
            </w:pPr>
            <w:r>
              <w:rPr>
                <w:rFonts w:ascii="Arial" w:hAnsi="Arial" w:cs="Arial"/>
              </w:rPr>
              <w:t>Source of error</w:t>
            </w:r>
          </w:p>
        </w:tc>
        <w:tc>
          <w:tcPr>
            <w:tcW w:w="7015" w:type="dxa"/>
          </w:tcPr>
          <w:p w14:paraId="6D4C592F" w14:textId="58DB7E18" w:rsidR="00AB4245" w:rsidRPr="00AB4245" w:rsidRDefault="00AB4245" w:rsidP="00AB4245">
            <w:pPr>
              <w:pStyle w:val="ListParagraph"/>
              <w:numPr>
                <w:ilvl w:val="0"/>
                <w:numId w:val="16"/>
              </w:numPr>
              <w:rPr>
                <w:rFonts w:ascii="Arial" w:hAnsi="Arial" w:cs="Arial"/>
              </w:rPr>
            </w:pPr>
            <w:r>
              <w:rPr>
                <w:rFonts w:ascii="Arial" w:hAnsi="Arial" w:cs="Arial"/>
              </w:rPr>
              <w:t>When aspirating off the supernatant in step 11, if the tip touches the bottom of the well plate. The delicate cells are aspirated with the supernatant creating inconsistent cell densities throughout the experiment.</w:t>
            </w:r>
          </w:p>
        </w:tc>
      </w:tr>
      <w:tr w:rsidR="00AB4245" w14:paraId="7451ED73" w14:textId="77777777" w:rsidTr="00AB4245">
        <w:tc>
          <w:tcPr>
            <w:tcW w:w="2335" w:type="dxa"/>
          </w:tcPr>
          <w:p w14:paraId="4553BA31" w14:textId="5793F782" w:rsidR="00AB4245" w:rsidRDefault="00AB4245" w:rsidP="00CA7CA4">
            <w:pPr>
              <w:rPr>
                <w:rFonts w:ascii="Arial" w:hAnsi="Arial" w:cs="Arial"/>
              </w:rPr>
            </w:pPr>
            <w:r>
              <w:rPr>
                <w:rFonts w:ascii="Arial" w:hAnsi="Arial" w:cs="Arial"/>
              </w:rPr>
              <w:t>Hints for group</w:t>
            </w:r>
          </w:p>
        </w:tc>
        <w:tc>
          <w:tcPr>
            <w:tcW w:w="7015" w:type="dxa"/>
          </w:tcPr>
          <w:p w14:paraId="2375056E" w14:textId="77777777" w:rsidR="00AB4245" w:rsidRDefault="005C7D54" w:rsidP="005C7D54">
            <w:pPr>
              <w:pStyle w:val="ListParagraph"/>
              <w:numPr>
                <w:ilvl w:val="0"/>
                <w:numId w:val="16"/>
              </w:numPr>
              <w:rPr>
                <w:rFonts w:ascii="Arial" w:hAnsi="Arial" w:cs="Arial"/>
              </w:rPr>
            </w:pPr>
            <w:r>
              <w:rPr>
                <w:rFonts w:ascii="Arial" w:hAnsi="Arial" w:cs="Arial"/>
              </w:rPr>
              <w:t>Other students in the lab have performed MTT experiments previously</w:t>
            </w:r>
          </w:p>
          <w:p w14:paraId="2447C122" w14:textId="77777777" w:rsidR="005C7D54" w:rsidRDefault="005C7D54" w:rsidP="005C7D54">
            <w:pPr>
              <w:pStyle w:val="ListParagraph"/>
              <w:numPr>
                <w:ilvl w:val="0"/>
                <w:numId w:val="16"/>
              </w:numPr>
              <w:rPr>
                <w:rFonts w:ascii="Arial" w:hAnsi="Arial" w:cs="Arial"/>
              </w:rPr>
            </w:pPr>
            <w:r>
              <w:rPr>
                <w:rFonts w:ascii="Arial" w:hAnsi="Arial" w:cs="Arial"/>
              </w:rPr>
              <w:t>The student performing the experiment has limited experiment culturing dual adherent/non-adherent cell lines, and minimal experience with cell culture in general</w:t>
            </w:r>
          </w:p>
          <w:p w14:paraId="381AB9AD" w14:textId="48A8B3FC" w:rsidR="005C7D54" w:rsidRPr="005C7D54" w:rsidRDefault="005C7D54" w:rsidP="005C7D54">
            <w:pPr>
              <w:pStyle w:val="ListParagraph"/>
              <w:numPr>
                <w:ilvl w:val="0"/>
                <w:numId w:val="16"/>
              </w:numPr>
              <w:rPr>
                <w:rFonts w:ascii="Arial" w:hAnsi="Arial" w:cs="Arial"/>
              </w:rPr>
            </w:pPr>
            <w:r>
              <w:rPr>
                <w:rFonts w:ascii="Arial" w:hAnsi="Arial" w:cs="Arial"/>
              </w:rPr>
              <w:t>There are plate readers, microscopes, NMRs, and multiple HPLCs within the lab</w:t>
            </w:r>
          </w:p>
        </w:tc>
      </w:tr>
    </w:tbl>
    <w:p w14:paraId="7BF6CB98" w14:textId="77777777" w:rsidR="00AB4245" w:rsidRPr="00AE0AEC" w:rsidRDefault="00AB4245" w:rsidP="00AB4245">
      <w:pPr>
        <w:rPr>
          <w:rFonts w:ascii="Arial" w:hAnsi="Arial" w:cs="Arial"/>
        </w:rPr>
      </w:pPr>
    </w:p>
    <w:p w14:paraId="3A7932CE" w14:textId="77777777" w:rsidR="00AB4245" w:rsidRDefault="00AB4245">
      <w:pPr>
        <w:rPr>
          <w:rFonts w:ascii="Arial" w:hAnsi="Arial" w:cs="Arial"/>
        </w:rPr>
      </w:pPr>
    </w:p>
    <w:p w14:paraId="72BDEF7B" w14:textId="4959F2A5" w:rsidR="00AB4245" w:rsidRDefault="00AB4245">
      <w:pPr>
        <w:rPr>
          <w:rFonts w:ascii="Arial" w:hAnsi="Arial" w:cs="Arial"/>
        </w:rPr>
      </w:pPr>
      <w:r>
        <w:rPr>
          <w:rFonts w:ascii="Arial" w:hAnsi="Arial" w:cs="Arial"/>
          <w:b/>
          <w:bCs/>
        </w:rPr>
        <w:t>References</w:t>
      </w:r>
    </w:p>
    <w:p w14:paraId="55016797" w14:textId="77777777" w:rsidR="00AB4245" w:rsidRPr="00AB4245" w:rsidRDefault="00AB4245" w:rsidP="00AB4245">
      <w:pPr>
        <w:pStyle w:val="Bibliography"/>
        <w:rPr>
          <w:rFonts w:ascii="Arial" w:hAnsi="Arial" w:cs="Arial"/>
        </w:rPr>
      </w:pPr>
      <w:r>
        <w:rPr>
          <w:rFonts w:ascii="Arial" w:hAnsi="Arial" w:cs="Arial"/>
        </w:rPr>
        <w:fldChar w:fldCharType="begin"/>
      </w:r>
      <w:r>
        <w:rPr>
          <w:rFonts w:ascii="Arial" w:hAnsi="Arial" w:cs="Arial"/>
        </w:rPr>
        <w:instrText xml:space="preserve"> ADDIN ZOTERO_BIBL {"uncited":[],"omitted":[],"custom":[]} CSL_BIBLIOGRAPHY </w:instrText>
      </w:r>
      <w:r>
        <w:rPr>
          <w:rFonts w:ascii="Arial" w:hAnsi="Arial" w:cs="Arial"/>
        </w:rPr>
        <w:fldChar w:fldCharType="separate"/>
      </w:r>
      <w:r w:rsidRPr="00AB4245">
        <w:rPr>
          <w:rFonts w:ascii="Arial" w:hAnsi="Arial" w:cs="Arial"/>
        </w:rPr>
        <w:t>(1)</w:t>
      </w:r>
      <w:r w:rsidRPr="00AB4245">
        <w:rPr>
          <w:rFonts w:ascii="Arial" w:hAnsi="Arial" w:cs="Arial"/>
        </w:rPr>
        <w:tab/>
        <w:t xml:space="preserve">Mosmann, T. Rapid Colorimetric Assay for Cellular Growth and Survival: Application to Proliferation and Cytotoxicity Assays. </w:t>
      </w:r>
      <w:r w:rsidRPr="00AB4245">
        <w:rPr>
          <w:rFonts w:ascii="Arial" w:hAnsi="Arial" w:cs="Arial"/>
          <w:i/>
          <w:iCs/>
        </w:rPr>
        <w:t>J. Immunol. Methods</w:t>
      </w:r>
      <w:r w:rsidRPr="00AB4245">
        <w:rPr>
          <w:rFonts w:ascii="Arial" w:hAnsi="Arial" w:cs="Arial"/>
        </w:rPr>
        <w:t xml:space="preserve"> </w:t>
      </w:r>
      <w:r w:rsidRPr="00AB4245">
        <w:rPr>
          <w:rFonts w:ascii="Arial" w:hAnsi="Arial" w:cs="Arial"/>
          <w:b/>
          <w:bCs/>
        </w:rPr>
        <w:t>1983</w:t>
      </w:r>
      <w:r w:rsidRPr="00AB4245">
        <w:rPr>
          <w:rFonts w:ascii="Arial" w:hAnsi="Arial" w:cs="Arial"/>
        </w:rPr>
        <w:t xml:space="preserve">, </w:t>
      </w:r>
      <w:r w:rsidRPr="00AB4245">
        <w:rPr>
          <w:rFonts w:ascii="Arial" w:hAnsi="Arial" w:cs="Arial"/>
          <w:i/>
          <w:iCs/>
        </w:rPr>
        <w:t>65</w:t>
      </w:r>
      <w:r w:rsidRPr="00AB4245">
        <w:rPr>
          <w:rFonts w:ascii="Arial" w:hAnsi="Arial" w:cs="Arial"/>
        </w:rPr>
        <w:t xml:space="preserve"> (1–2), 55–63. https://doi.org/10.1016/0022-1759(83)90303-4.</w:t>
      </w:r>
    </w:p>
    <w:p w14:paraId="31EFF907" w14:textId="77777777" w:rsidR="00AB4245" w:rsidRPr="00AB4245" w:rsidRDefault="00AB4245" w:rsidP="00AB4245">
      <w:pPr>
        <w:pStyle w:val="Bibliography"/>
        <w:rPr>
          <w:rFonts w:ascii="Arial" w:hAnsi="Arial" w:cs="Arial"/>
        </w:rPr>
      </w:pPr>
      <w:r w:rsidRPr="00AB4245">
        <w:rPr>
          <w:rFonts w:ascii="Arial" w:hAnsi="Arial" w:cs="Arial"/>
        </w:rPr>
        <w:t>(2)</w:t>
      </w:r>
      <w:r w:rsidRPr="00AB4245">
        <w:rPr>
          <w:rFonts w:ascii="Arial" w:hAnsi="Arial" w:cs="Arial"/>
        </w:rPr>
        <w:tab/>
        <w:t xml:space="preserve">Tada, H.; Shiho, O.; Kuroshima, K.; Koyama, M.; Tsukamoto, K. An Improved Colorimetric Assay for Interleukin 2. </w:t>
      </w:r>
      <w:r w:rsidRPr="00AB4245">
        <w:rPr>
          <w:rFonts w:ascii="Arial" w:hAnsi="Arial" w:cs="Arial"/>
          <w:i/>
          <w:iCs/>
        </w:rPr>
        <w:t>J. Immunol. Methods</w:t>
      </w:r>
      <w:r w:rsidRPr="00AB4245">
        <w:rPr>
          <w:rFonts w:ascii="Arial" w:hAnsi="Arial" w:cs="Arial"/>
        </w:rPr>
        <w:t xml:space="preserve"> </w:t>
      </w:r>
      <w:r w:rsidRPr="00AB4245">
        <w:rPr>
          <w:rFonts w:ascii="Arial" w:hAnsi="Arial" w:cs="Arial"/>
          <w:b/>
          <w:bCs/>
        </w:rPr>
        <w:t>1986</w:t>
      </w:r>
      <w:r w:rsidRPr="00AB4245">
        <w:rPr>
          <w:rFonts w:ascii="Arial" w:hAnsi="Arial" w:cs="Arial"/>
        </w:rPr>
        <w:t xml:space="preserve">, </w:t>
      </w:r>
      <w:r w:rsidRPr="00AB4245">
        <w:rPr>
          <w:rFonts w:ascii="Arial" w:hAnsi="Arial" w:cs="Arial"/>
          <w:i/>
          <w:iCs/>
        </w:rPr>
        <w:t>93</w:t>
      </w:r>
      <w:r w:rsidRPr="00AB4245">
        <w:rPr>
          <w:rFonts w:ascii="Arial" w:hAnsi="Arial" w:cs="Arial"/>
        </w:rPr>
        <w:t xml:space="preserve"> (2), 157–165. https://doi.org/10.1016/0022-1759(86)90183-3.</w:t>
      </w:r>
    </w:p>
    <w:p w14:paraId="5E314DF8" w14:textId="77777777" w:rsidR="00AB4245" w:rsidRPr="00AB4245" w:rsidRDefault="00AB4245" w:rsidP="00AB4245">
      <w:pPr>
        <w:pStyle w:val="Bibliography"/>
        <w:rPr>
          <w:rFonts w:ascii="Arial" w:hAnsi="Arial" w:cs="Arial"/>
        </w:rPr>
      </w:pPr>
      <w:r w:rsidRPr="00AB4245">
        <w:rPr>
          <w:rFonts w:ascii="Arial" w:hAnsi="Arial" w:cs="Arial"/>
        </w:rPr>
        <w:t>(3)</w:t>
      </w:r>
      <w:r w:rsidRPr="00AB4245">
        <w:rPr>
          <w:rFonts w:ascii="Arial" w:hAnsi="Arial" w:cs="Arial"/>
        </w:rPr>
        <w:tab/>
        <w:t xml:space="preserve">Gerlier, D.; Thomasset, N. Use of MTT Colorimetric Assay to Measure Cell Activation. </w:t>
      </w:r>
      <w:r w:rsidRPr="00AB4245">
        <w:rPr>
          <w:rFonts w:ascii="Arial" w:hAnsi="Arial" w:cs="Arial"/>
          <w:i/>
          <w:iCs/>
        </w:rPr>
        <w:t>J. Immunol. Methods</w:t>
      </w:r>
      <w:r w:rsidRPr="00AB4245">
        <w:rPr>
          <w:rFonts w:ascii="Arial" w:hAnsi="Arial" w:cs="Arial"/>
        </w:rPr>
        <w:t xml:space="preserve"> </w:t>
      </w:r>
      <w:r w:rsidRPr="00AB4245">
        <w:rPr>
          <w:rFonts w:ascii="Arial" w:hAnsi="Arial" w:cs="Arial"/>
          <w:b/>
          <w:bCs/>
        </w:rPr>
        <w:t>1986</w:t>
      </w:r>
      <w:r w:rsidRPr="00AB4245">
        <w:rPr>
          <w:rFonts w:ascii="Arial" w:hAnsi="Arial" w:cs="Arial"/>
        </w:rPr>
        <w:t xml:space="preserve">, </w:t>
      </w:r>
      <w:r w:rsidRPr="00AB4245">
        <w:rPr>
          <w:rFonts w:ascii="Arial" w:hAnsi="Arial" w:cs="Arial"/>
          <w:i/>
          <w:iCs/>
        </w:rPr>
        <w:t>94</w:t>
      </w:r>
      <w:r w:rsidRPr="00AB4245">
        <w:rPr>
          <w:rFonts w:ascii="Arial" w:hAnsi="Arial" w:cs="Arial"/>
        </w:rPr>
        <w:t xml:space="preserve"> (1–2), 57–63. https://doi.org/10.1016/0022-1759(86)90215-2.</w:t>
      </w:r>
    </w:p>
    <w:p w14:paraId="17D55FE0" w14:textId="2F44BE7B" w:rsidR="00AB4245" w:rsidRPr="00AB4245" w:rsidRDefault="00AB4245">
      <w:pPr>
        <w:rPr>
          <w:rFonts w:ascii="Arial" w:hAnsi="Arial" w:cs="Arial"/>
        </w:rPr>
      </w:pPr>
      <w:r>
        <w:rPr>
          <w:rFonts w:ascii="Arial" w:hAnsi="Arial" w:cs="Arial"/>
        </w:rPr>
        <w:fldChar w:fldCharType="end"/>
      </w:r>
    </w:p>
    <w:sectPr w:rsidR="00AB4245" w:rsidRPr="00AB42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72B61"/>
    <w:multiLevelType w:val="multilevel"/>
    <w:tmpl w:val="E692F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2A27C2"/>
    <w:multiLevelType w:val="hybridMultilevel"/>
    <w:tmpl w:val="E1A4CE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2E91C2C"/>
    <w:multiLevelType w:val="multilevel"/>
    <w:tmpl w:val="12AA6A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A66691"/>
    <w:multiLevelType w:val="multilevel"/>
    <w:tmpl w:val="35102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552AA4"/>
    <w:multiLevelType w:val="multilevel"/>
    <w:tmpl w:val="3BAE0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C93BE0"/>
    <w:multiLevelType w:val="multilevel"/>
    <w:tmpl w:val="A0FC8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65E7967"/>
    <w:multiLevelType w:val="hybridMultilevel"/>
    <w:tmpl w:val="3C029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D9275E"/>
    <w:multiLevelType w:val="multilevel"/>
    <w:tmpl w:val="1314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91F7FDF"/>
    <w:multiLevelType w:val="multilevel"/>
    <w:tmpl w:val="9FF89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B6C2DA0"/>
    <w:multiLevelType w:val="multilevel"/>
    <w:tmpl w:val="3AD697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4B26F88"/>
    <w:multiLevelType w:val="hybridMultilevel"/>
    <w:tmpl w:val="1F3A7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8277661"/>
    <w:multiLevelType w:val="multilevel"/>
    <w:tmpl w:val="7A4C5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A0A5AF6"/>
    <w:multiLevelType w:val="multilevel"/>
    <w:tmpl w:val="A0FC8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D53525C"/>
    <w:multiLevelType w:val="multilevel"/>
    <w:tmpl w:val="D3FAC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3221D2E"/>
    <w:multiLevelType w:val="hybridMultilevel"/>
    <w:tmpl w:val="A538D6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E3459A8"/>
    <w:multiLevelType w:val="hybridMultilevel"/>
    <w:tmpl w:val="AFB67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47744991">
    <w:abstractNumId w:val="12"/>
  </w:num>
  <w:num w:numId="2" w16cid:durableId="268239607">
    <w:abstractNumId w:val="9"/>
  </w:num>
  <w:num w:numId="3" w16cid:durableId="549460032">
    <w:abstractNumId w:val="11"/>
  </w:num>
  <w:num w:numId="4" w16cid:durableId="197084710">
    <w:abstractNumId w:val="3"/>
  </w:num>
  <w:num w:numId="5" w16cid:durableId="1144272282">
    <w:abstractNumId w:val="13"/>
  </w:num>
  <w:num w:numId="6" w16cid:durableId="335427160">
    <w:abstractNumId w:val="0"/>
  </w:num>
  <w:num w:numId="7" w16cid:durableId="1194611372">
    <w:abstractNumId w:val="2"/>
  </w:num>
  <w:num w:numId="8" w16cid:durableId="2048606799">
    <w:abstractNumId w:val="7"/>
  </w:num>
  <w:num w:numId="9" w16cid:durableId="1160075221">
    <w:abstractNumId w:val="4"/>
  </w:num>
  <w:num w:numId="10" w16cid:durableId="1625580333">
    <w:abstractNumId w:val="8"/>
  </w:num>
  <w:num w:numId="11" w16cid:durableId="1344698796">
    <w:abstractNumId w:val="5"/>
  </w:num>
  <w:num w:numId="12" w16cid:durableId="981691569">
    <w:abstractNumId w:val="6"/>
  </w:num>
  <w:num w:numId="13" w16cid:durableId="1113288117">
    <w:abstractNumId w:val="1"/>
  </w:num>
  <w:num w:numId="14" w16cid:durableId="272445909">
    <w:abstractNumId w:val="15"/>
  </w:num>
  <w:num w:numId="15" w16cid:durableId="852115225">
    <w:abstractNumId w:val="10"/>
  </w:num>
  <w:num w:numId="16" w16cid:durableId="119164988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20A"/>
    <w:rsid w:val="00066C37"/>
    <w:rsid w:val="000A0E9D"/>
    <w:rsid w:val="000B3929"/>
    <w:rsid w:val="000C0214"/>
    <w:rsid w:val="001219ED"/>
    <w:rsid w:val="005C7D54"/>
    <w:rsid w:val="008551B7"/>
    <w:rsid w:val="00874667"/>
    <w:rsid w:val="008932E7"/>
    <w:rsid w:val="009C79DB"/>
    <w:rsid w:val="00AB4245"/>
    <w:rsid w:val="00AE0AEC"/>
    <w:rsid w:val="00B32DB0"/>
    <w:rsid w:val="00B43693"/>
    <w:rsid w:val="00B44D29"/>
    <w:rsid w:val="00B93905"/>
    <w:rsid w:val="00C4520A"/>
    <w:rsid w:val="00D64845"/>
    <w:rsid w:val="00D93F62"/>
    <w:rsid w:val="00ED43E8"/>
    <w:rsid w:val="00F21B54"/>
    <w:rsid w:val="00F40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FB15803"/>
  <w15:chartTrackingRefBased/>
  <w15:docId w15:val="{77506DC8-7459-9749-80E0-F6F7CAF00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52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452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4520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4520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4520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4520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4520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4520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4520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520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4520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4520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4520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4520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4520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4520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4520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4520A"/>
    <w:rPr>
      <w:rFonts w:eastAsiaTheme="majorEastAsia" w:cstheme="majorBidi"/>
      <w:color w:val="272727" w:themeColor="text1" w:themeTint="D8"/>
    </w:rPr>
  </w:style>
  <w:style w:type="paragraph" w:styleId="Title">
    <w:name w:val="Title"/>
    <w:basedOn w:val="Normal"/>
    <w:next w:val="Normal"/>
    <w:link w:val="TitleChar"/>
    <w:uiPriority w:val="10"/>
    <w:qFormat/>
    <w:rsid w:val="00C4520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520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520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4520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4520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4520A"/>
    <w:rPr>
      <w:i/>
      <w:iCs/>
      <w:color w:val="404040" w:themeColor="text1" w:themeTint="BF"/>
    </w:rPr>
  </w:style>
  <w:style w:type="paragraph" w:styleId="ListParagraph">
    <w:name w:val="List Paragraph"/>
    <w:basedOn w:val="Normal"/>
    <w:uiPriority w:val="34"/>
    <w:qFormat/>
    <w:rsid w:val="00C4520A"/>
    <w:pPr>
      <w:ind w:left="720"/>
      <w:contextualSpacing/>
    </w:pPr>
  </w:style>
  <w:style w:type="character" w:styleId="IntenseEmphasis">
    <w:name w:val="Intense Emphasis"/>
    <w:basedOn w:val="DefaultParagraphFont"/>
    <w:uiPriority w:val="21"/>
    <w:qFormat/>
    <w:rsid w:val="00C4520A"/>
    <w:rPr>
      <w:i/>
      <w:iCs/>
      <w:color w:val="0F4761" w:themeColor="accent1" w:themeShade="BF"/>
    </w:rPr>
  </w:style>
  <w:style w:type="paragraph" w:styleId="IntenseQuote">
    <w:name w:val="Intense Quote"/>
    <w:basedOn w:val="Normal"/>
    <w:next w:val="Normal"/>
    <w:link w:val="IntenseQuoteChar"/>
    <w:uiPriority w:val="30"/>
    <w:qFormat/>
    <w:rsid w:val="00C452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4520A"/>
    <w:rPr>
      <w:i/>
      <w:iCs/>
      <w:color w:val="0F4761" w:themeColor="accent1" w:themeShade="BF"/>
    </w:rPr>
  </w:style>
  <w:style w:type="character" w:styleId="IntenseReference">
    <w:name w:val="Intense Reference"/>
    <w:basedOn w:val="DefaultParagraphFont"/>
    <w:uiPriority w:val="32"/>
    <w:qFormat/>
    <w:rsid w:val="00C4520A"/>
    <w:rPr>
      <w:b/>
      <w:bCs/>
      <w:smallCaps/>
      <w:color w:val="0F4761" w:themeColor="accent1" w:themeShade="BF"/>
      <w:spacing w:val="5"/>
    </w:rPr>
  </w:style>
  <w:style w:type="character" w:styleId="Emphasis">
    <w:name w:val="Emphasis"/>
    <w:basedOn w:val="DefaultParagraphFont"/>
    <w:uiPriority w:val="20"/>
    <w:qFormat/>
    <w:rsid w:val="00AE0AEC"/>
    <w:rPr>
      <w:i/>
      <w:iCs/>
    </w:rPr>
  </w:style>
  <w:style w:type="table" w:styleId="TableGrid">
    <w:name w:val="Table Grid"/>
    <w:basedOn w:val="TableNormal"/>
    <w:uiPriority w:val="39"/>
    <w:rsid w:val="00D648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AB4245"/>
    <w:pPr>
      <w:tabs>
        <w:tab w:val="left" w:pos="380"/>
      </w:tabs>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491319">
      <w:bodyDiv w:val="1"/>
      <w:marLeft w:val="0"/>
      <w:marRight w:val="0"/>
      <w:marTop w:val="0"/>
      <w:marBottom w:val="0"/>
      <w:divBdr>
        <w:top w:val="none" w:sz="0" w:space="0" w:color="auto"/>
        <w:left w:val="none" w:sz="0" w:space="0" w:color="auto"/>
        <w:bottom w:val="none" w:sz="0" w:space="0" w:color="auto"/>
        <w:right w:val="none" w:sz="0" w:space="0" w:color="auto"/>
      </w:divBdr>
    </w:div>
    <w:div w:id="203673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4</Pages>
  <Words>1573</Words>
  <Characters>8969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Partipilo, Gina</dc:creator>
  <cp:keywords/>
  <dc:description/>
  <cp:lastModifiedBy>Partipilo, Gina</cp:lastModifiedBy>
  <cp:revision>9</cp:revision>
  <dcterms:created xsi:type="dcterms:W3CDTF">2024-04-10T02:42:00Z</dcterms:created>
  <dcterms:modified xsi:type="dcterms:W3CDTF">2024-06-15T20:30:00Z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zotero-version="6.0.37"&gt;&lt;session id="HG6rMNUE"/&gt;&lt;style id="http://www.zotero.org/styles/american-chemical-society" hasBibliography="1" bibliographyStyleHasBeenSet="1"/&gt;&lt;prefs&gt;&lt;pref name="fieldType" value="Field"/&gt;&lt;pref name="automat</vt:lpwstr>
  </property>
  <property fmtid="{D5CDD505-2E9C-101B-9397-08002B2CF9AE}" pid="3" name="ZOTERO_PREF_2">
    <vt:lpwstr>icJournalAbbreviations" value="true"/&gt;&lt;/prefs&gt;&lt;/data&gt;</vt:lpwstr>
  </property>
</Properties>
</file>